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4E3E4" w14:textId="77777777" w:rsidR="00076F8F" w:rsidRPr="00E1705C" w:rsidRDefault="00076F8F" w:rsidP="00E1705C">
      <w:pPr>
        <w:jc w:val="right"/>
      </w:pPr>
    </w:p>
    <w:p w14:paraId="76103C46" w14:textId="77777777" w:rsidR="00C65874" w:rsidRPr="00E1705C" w:rsidRDefault="00C65874" w:rsidP="00E1705C">
      <w:pPr>
        <w:jc w:val="both"/>
      </w:pPr>
    </w:p>
    <w:p w14:paraId="62CDB798" w14:textId="77777777" w:rsidR="00C65874" w:rsidRPr="00E1705C" w:rsidRDefault="00C65874" w:rsidP="00E1705C">
      <w:pPr>
        <w:jc w:val="both"/>
      </w:pPr>
    </w:p>
    <w:p w14:paraId="3F43C913" w14:textId="77777777" w:rsidR="00C65874" w:rsidRPr="00E1705C" w:rsidRDefault="00C65874" w:rsidP="00E1705C">
      <w:pPr>
        <w:jc w:val="both"/>
      </w:pPr>
    </w:p>
    <w:p w14:paraId="74D80F52" w14:textId="77777777" w:rsidR="00C65874" w:rsidRPr="00E1705C" w:rsidRDefault="00C65874" w:rsidP="00E1705C">
      <w:pPr>
        <w:jc w:val="both"/>
      </w:pPr>
    </w:p>
    <w:p w14:paraId="0E044392" w14:textId="2685C4B5" w:rsidR="00CD3EFA" w:rsidRPr="005601F2" w:rsidRDefault="008F0DD4" w:rsidP="00E1705C">
      <w:pPr>
        <w:jc w:val="center"/>
      </w:pPr>
      <w:r w:rsidRPr="005601F2">
        <w:rPr>
          <w:noProof/>
        </w:rPr>
        <w:drawing>
          <wp:inline distT="0" distB="0" distL="0" distR="0" wp14:anchorId="276672FE" wp14:editId="20564EF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5601F2">
        <w:fldChar w:fldCharType="begin"/>
      </w:r>
      <w:r w:rsidR="00CD3EFA" w:rsidRPr="005601F2">
        <w:instrText xml:space="preserve"> INCLUDEPICTURE "http://www.inet.hr/~box/images/grb-rh.gif" \* MERGEFORMATINET </w:instrText>
      </w:r>
      <w:r w:rsidR="00CD3EFA" w:rsidRPr="005601F2">
        <w:fldChar w:fldCharType="end"/>
      </w:r>
    </w:p>
    <w:p w14:paraId="54A0F58E" w14:textId="5E7020B4" w:rsidR="00CD3EFA" w:rsidRPr="005601F2" w:rsidRDefault="00355D2C" w:rsidP="00E1705C">
      <w:pPr>
        <w:jc w:val="center"/>
      </w:pPr>
      <w:r w:rsidRPr="005601F2">
        <w:t>MINISTARSTVO GOSPODARSTVA</w:t>
      </w:r>
    </w:p>
    <w:p w14:paraId="2DA6D93E" w14:textId="77777777" w:rsidR="00355D2C" w:rsidRPr="005601F2" w:rsidRDefault="00355D2C" w:rsidP="00E1705C">
      <w:pPr>
        <w:jc w:val="center"/>
      </w:pPr>
    </w:p>
    <w:p w14:paraId="6F30827F" w14:textId="4FF1F903" w:rsidR="006E31CD" w:rsidRPr="005601F2" w:rsidRDefault="00C337A4" w:rsidP="00E1705C">
      <w:pPr>
        <w:ind w:left="5664" w:firstLine="708"/>
      </w:pPr>
      <w:r w:rsidRPr="005601F2">
        <w:t xml:space="preserve">Zagreb, </w:t>
      </w:r>
      <w:r w:rsidR="00C24105">
        <w:t>6. svibnja</w:t>
      </w:r>
      <w:bookmarkStart w:id="0" w:name="_GoBack"/>
      <w:bookmarkEnd w:id="0"/>
      <w:r w:rsidR="009152A3" w:rsidRPr="005601F2">
        <w:t xml:space="preserve"> </w:t>
      </w:r>
      <w:r w:rsidR="00DC72AD" w:rsidRPr="005601F2">
        <w:t>202</w:t>
      </w:r>
      <w:r w:rsidR="00094F61" w:rsidRPr="005601F2">
        <w:t>5</w:t>
      </w:r>
      <w:r w:rsidRPr="005601F2">
        <w:t>.</w:t>
      </w:r>
    </w:p>
    <w:p w14:paraId="6F5BBC27" w14:textId="77777777" w:rsidR="008A00BB" w:rsidRPr="005601F2" w:rsidRDefault="008A00BB" w:rsidP="00E1705C">
      <w:pPr>
        <w:jc w:val="both"/>
      </w:pPr>
    </w:p>
    <w:p w14:paraId="6056847E" w14:textId="77777777" w:rsidR="008A00BB" w:rsidRPr="005601F2" w:rsidRDefault="008A00BB" w:rsidP="00E1705C">
      <w:pPr>
        <w:jc w:val="both"/>
      </w:pPr>
    </w:p>
    <w:p w14:paraId="710F0AB3" w14:textId="77777777" w:rsidR="008A00BB" w:rsidRPr="005601F2" w:rsidRDefault="008A00BB" w:rsidP="00E1705C">
      <w:pPr>
        <w:jc w:val="both"/>
      </w:pPr>
    </w:p>
    <w:p w14:paraId="13DE5982" w14:textId="77777777" w:rsidR="00CF0933" w:rsidRPr="005601F2" w:rsidRDefault="00CF0933" w:rsidP="00E1705C">
      <w:pPr>
        <w:jc w:val="both"/>
      </w:pPr>
    </w:p>
    <w:p w14:paraId="33C31034" w14:textId="77777777" w:rsidR="008A00BB" w:rsidRPr="005601F2" w:rsidRDefault="008A00BB" w:rsidP="00E1705C">
      <w:pPr>
        <w:jc w:val="both"/>
      </w:pPr>
    </w:p>
    <w:p w14:paraId="0DAE10FC" w14:textId="72943223" w:rsidR="00355D2C" w:rsidRPr="005601F2" w:rsidRDefault="000350D9" w:rsidP="00E1705C">
      <w:pPr>
        <w:jc w:val="both"/>
      </w:pPr>
      <w:r w:rsidRPr="005601F2">
        <w:t>__________________________________________________________________________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2"/>
        <w:gridCol w:w="7208"/>
      </w:tblGrid>
      <w:tr w:rsidR="00355D2C" w:rsidRPr="005601F2" w14:paraId="6A0C7708" w14:textId="77777777" w:rsidTr="004C222C">
        <w:tc>
          <w:tcPr>
            <w:tcW w:w="1949" w:type="dxa"/>
          </w:tcPr>
          <w:p w14:paraId="69CE3B55" w14:textId="77777777" w:rsidR="00355D2C" w:rsidRPr="005601F2" w:rsidRDefault="00355D2C" w:rsidP="00E1705C">
            <w:pPr>
              <w:jc w:val="both"/>
              <w:rPr>
                <w:b/>
                <w:smallCaps/>
              </w:rPr>
            </w:pPr>
          </w:p>
          <w:p w14:paraId="27C71707" w14:textId="77777777" w:rsidR="00355D2C" w:rsidRPr="005601F2" w:rsidRDefault="00355D2C" w:rsidP="00E1705C">
            <w:pPr>
              <w:jc w:val="both"/>
            </w:pPr>
            <w:r w:rsidRPr="005601F2">
              <w:rPr>
                <w:b/>
                <w:smallCaps/>
              </w:rPr>
              <w:t>Predlagatelj</w:t>
            </w:r>
            <w:r w:rsidRPr="005601F2">
              <w:rPr>
                <w:b/>
              </w:rPr>
              <w:t>:</w:t>
            </w:r>
          </w:p>
        </w:tc>
        <w:tc>
          <w:tcPr>
            <w:tcW w:w="7123" w:type="dxa"/>
          </w:tcPr>
          <w:p w14:paraId="1BCB37A5" w14:textId="77777777" w:rsidR="00355D2C" w:rsidRPr="005601F2" w:rsidRDefault="00355D2C" w:rsidP="00E1705C">
            <w:pPr>
              <w:jc w:val="both"/>
            </w:pPr>
          </w:p>
          <w:p w14:paraId="5E226F16" w14:textId="51AC7C9D" w:rsidR="00355D2C" w:rsidRPr="005601F2" w:rsidRDefault="00355D2C" w:rsidP="00E1705C">
            <w:pPr>
              <w:jc w:val="both"/>
            </w:pPr>
            <w:r w:rsidRPr="005601F2">
              <w:t>Ministarstvo gospodarstva</w:t>
            </w:r>
          </w:p>
        </w:tc>
      </w:tr>
    </w:tbl>
    <w:tbl>
      <w:tblPr>
        <w:tblStyle w:val="TableGrid"/>
        <w:tblpPr w:leftFromText="180" w:rightFromText="180" w:vertAnchor="text" w:horzAnchor="margin" w:tblpY="31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355D2C" w:rsidRPr="005601F2" w14:paraId="0E1A6256" w14:textId="77777777" w:rsidTr="004C222C">
        <w:tc>
          <w:tcPr>
            <w:tcW w:w="1951" w:type="dxa"/>
          </w:tcPr>
          <w:p w14:paraId="7B3F5827" w14:textId="77777777" w:rsidR="00355D2C" w:rsidRPr="005601F2" w:rsidRDefault="00355D2C" w:rsidP="00E1705C">
            <w:pPr>
              <w:jc w:val="both"/>
              <w:rPr>
                <w:b/>
                <w:smallCaps/>
              </w:rPr>
            </w:pPr>
          </w:p>
          <w:p w14:paraId="4825BFBC" w14:textId="77777777" w:rsidR="00355D2C" w:rsidRPr="005601F2" w:rsidRDefault="00355D2C" w:rsidP="00E1705C">
            <w:pPr>
              <w:jc w:val="both"/>
            </w:pPr>
            <w:r w:rsidRPr="005601F2">
              <w:rPr>
                <w:b/>
                <w:smallCaps/>
              </w:rPr>
              <w:t>Predmet</w:t>
            </w:r>
            <w:r w:rsidRPr="005601F2">
              <w:rPr>
                <w:b/>
              </w:rPr>
              <w:t>:</w:t>
            </w:r>
          </w:p>
        </w:tc>
        <w:tc>
          <w:tcPr>
            <w:tcW w:w="7229" w:type="dxa"/>
          </w:tcPr>
          <w:p w14:paraId="6B397AF7" w14:textId="77777777" w:rsidR="00355D2C" w:rsidRPr="005601F2" w:rsidRDefault="00355D2C" w:rsidP="00E1705C">
            <w:pPr>
              <w:jc w:val="both"/>
            </w:pPr>
          </w:p>
          <w:p w14:paraId="172F569C" w14:textId="7DCE6CEF" w:rsidR="00355D2C" w:rsidRPr="005601F2" w:rsidRDefault="000A5C4C" w:rsidP="00E1705C">
            <w:pPr>
              <w:jc w:val="both"/>
            </w:pPr>
            <w:r w:rsidRPr="005601F2">
              <w:t>P</w:t>
            </w:r>
            <w:r w:rsidR="006D6F18" w:rsidRPr="005601F2">
              <w:t>rijedlog</w:t>
            </w:r>
            <w:r w:rsidR="00355D2C" w:rsidRPr="005601F2">
              <w:t xml:space="preserve"> Trećeg akcijskog plana za liberalizaciju tržišta usluga</w:t>
            </w:r>
          </w:p>
        </w:tc>
      </w:tr>
    </w:tbl>
    <w:p w14:paraId="253B318B" w14:textId="77777777" w:rsidR="00355D2C" w:rsidRPr="005601F2" w:rsidRDefault="00355D2C" w:rsidP="00E1705C">
      <w:pPr>
        <w:tabs>
          <w:tab w:val="left" w:pos="1843"/>
        </w:tabs>
        <w:ind w:left="1843" w:hanging="1843"/>
        <w:jc w:val="both"/>
      </w:pPr>
      <w:r w:rsidRPr="005601F2">
        <w:t>__________________________________________________________________________</w:t>
      </w:r>
    </w:p>
    <w:p w14:paraId="2CDF6A9A" w14:textId="77777777" w:rsidR="00355D2C" w:rsidRPr="005601F2" w:rsidRDefault="00355D2C" w:rsidP="00E1705C">
      <w:pPr>
        <w:jc w:val="both"/>
      </w:pPr>
    </w:p>
    <w:p w14:paraId="0C662279" w14:textId="77777777" w:rsidR="00355D2C" w:rsidRPr="005601F2" w:rsidRDefault="00355D2C" w:rsidP="00E1705C">
      <w:pPr>
        <w:jc w:val="both"/>
      </w:pPr>
    </w:p>
    <w:p w14:paraId="0D69E245" w14:textId="77777777" w:rsidR="00355D2C" w:rsidRPr="005601F2" w:rsidRDefault="00355D2C" w:rsidP="00E1705C">
      <w:pPr>
        <w:jc w:val="both"/>
      </w:pPr>
    </w:p>
    <w:p w14:paraId="55F53905" w14:textId="77777777" w:rsidR="00675DF6" w:rsidRPr="005601F2" w:rsidRDefault="00675DF6" w:rsidP="00E1705C">
      <w:pPr>
        <w:tabs>
          <w:tab w:val="left" w:pos="1843"/>
        </w:tabs>
        <w:ind w:left="1843" w:hanging="1843"/>
        <w:jc w:val="both"/>
      </w:pPr>
      <w:r w:rsidRPr="005601F2">
        <w:t>__________________________________________________________________________</w:t>
      </w:r>
    </w:p>
    <w:p w14:paraId="32BBDA5B" w14:textId="77777777" w:rsidR="00355D2C" w:rsidRPr="005601F2" w:rsidRDefault="00355D2C" w:rsidP="00E1705C">
      <w:pPr>
        <w:jc w:val="both"/>
      </w:pPr>
    </w:p>
    <w:p w14:paraId="2CCFA669" w14:textId="0D575D08" w:rsidR="00931D7D" w:rsidRPr="005601F2" w:rsidRDefault="00355D2C" w:rsidP="00E1705C">
      <w:pPr>
        <w:jc w:val="both"/>
      </w:pPr>
      <w:r w:rsidRPr="005601F2">
        <w:br w:type="page"/>
      </w:r>
    </w:p>
    <w:p w14:paraId="70E9CF43" w14:textId="2DB6210B" w:rsidR="00931D7D" w:rsidRPr="005601F2" w:rsidRDefault="00931D7D" w:rsidP="00E1705C">
      <w:pPr>
        <w:pStyle w:val="Defaul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shd w:val="clear" w:color="auto" w:fill="FFFFFF"/>
          <w:lang w:val="hr-HR"/>
        </w:rPr>
      </w:pPr>
      <w:r w:rsidRPr="005601F2">
        <w:rPr>
          <w:rFonts w:ascii="Times New Roman" w:hAnsi="Times New Roman" w:cs="Times New Roman"/>
          <w:b/>
          <w:color w:val="auto"/>
          <w:shd w:val="clear" w:color="auto" w:fill="FFFFFF"/>
          <w:lang w:val="hr-HR"/>
        </w:rPr>
        <w:lastRenderedPageBreak/>
        <w:t>Kontekst javne politike</w:t>
      </w:r>
      <w:r w:rsidR="002822BE" w:rsidRPr="005601F2">
        <w:rPr>
          <w:rFonts w:ascii="Times New Roman" w:hAnsi="Times New Roman" w:cs="Times New Roman"/>
          <w:b/>
          <w:color w:val="auto"/>
          <w:shd w:val="clear" w:color="auto" w:fill="FFFFFF"/>
          <w:lang w:val="hr-HR"/>
        </w:rPr>
        <w:t xml:space="preserve"> </w:t>
      </w:r>
      <w:r w:rsidR="002822BE" w:rsidRPr="005601F2">
        <w:rPr>
          <w:rFonts w:ascii="Times New Roman" w:hAnsi="Times New Roman" w:cs="Times New Roman"/>
          <w:b/>
          <w:color w:val="auto"/>
          <w:lang w:val="hr-HR"/>
        </w:rPr>
        <w:t>Unije za liberalizaciju jedinstvenog tržišta usluga</w:t>
      </w:r>
    </w:p>
    <w:p w14:paraId="54C12CAF" w14:textId="77777777" w:rsidR="00931D7D" w:rsidRPr="005601F2" w:rsidRDefault="00931D7D" w:rsidP="00E1705C">
      <w:pPr>
        <w:pStyle w:val="Default"/>
        <w:spacing w:after="0" w:line="240" w:lineRule="auto"/>
        <w:jc w:val="both"/>
        <w:rPr>
          <w:rFonts w:ascii="Times New Roman" w:hAnsi="Times New Roman" w:cs="Times New Roman"/>
          <w:b/>
          <w:color w:val="auto"/>
          <w:shd w:val="clear" w:color="auto" w:fill="FFFFFF"/>
          <w:lang w:val="hr-HR"/>
        </w:rPr>
      </w:pPr>
    </w:p>
    <w:p w14:paraId="321D48E4" w14:textId="2DA0469E" w:rsidR="006D32FA" w:rsidRPr="005601F2" w:rsidRDefault="00C24105" w:rsidP="00E1705C">
      <w:pPr>
        <w:jc w:val="both"/>
      </w:pPr>
      <w:hyperlink r:id="rId13" w:history="1">
        <w:r w:rsidR="00060803" w:rsidRPr="005601F2">
          <w:rPr>
            <w:rStyle w:val="Hyperlink"/>
            <w:bCs/>
          </w:rPr>
          <w:t>Godišnje izvješće o jedinstvenom tržištu i konkurentnosti za 2024</w:t>
        </w:r>
      </w:hyperlink>
      <w:r w:rsidR="00060803" w:rsidRPr="005601F2">
        <w:rPr>
          <w:rStyle w:val="FootnoteReference"/>
          <w:bCs/>
        </w:rPr>
        <w:footnoteReference w:id="1"/>
      </w:r>
      <w:r w:rsidR="00060803" w:rsidRPr="005601F2">
        <w:rPr>
          <w:bCs/>
        </w:rPr>
        <w:t xml:space="preserve"> </w:t>
      </w:r>
      <w:r w:rsidR="00687F8B" w:rsidRPr="005601F2">
        <w:t xml:space="preserve">Europske komisije </w:t>
      </w:r>
      <w:r w:rsidR="00060803" w:rsidRPr="005601F2">
        <w:rPr>
          <w:bCs/>
        </w:rPr>
        <w:t xml:space="preserve">ističe kako se </w:t>
      </w:r>
      <w:r w:rsidR="00060803" w:rsidRPr="005601F2">
        <w:t>posebna pozornost treba posvetiti neopravdanoj prekomjernoj regulaciji</w:t>
      </w:r>
      <w:r w:rsidR="00E4233F" w:rsidRPr="005601F2">
        <w:t xml:space="preserve">, na način da se provode </w:t>
      </w:r>
      <w:r w:rsidR="00802434" w:rsidRPr="005601F2">
        <w:t xml:space="preserve">regulatorne reforme. </w:t>
      </w:r>
      <w:r w:rsidR="00060803" w:rsidRPr="005601F2">
        <w:t xml:space="preserve">Funkcionalno jedinstveno tržište </w:t>
      </w:r>
      <w:r w:rsidR="00191C12" w:rsidRPr="005601F2">
        <w:t xml:space="preserve">je </w:t>
      </w:r>
      <w:r w:rsidR="00060803" w:rsidRPr="005601F2">
        <w:t xml:space="preserve">temeljni stup konkurentnosti </w:t>
      </w:r>
      <w:r w:rsidR="00191C12" w:rsidRPr="005601F2">
        <w:t>gospodarstva EU-a</w:t>
      </w:r>
      <w:r w:rsidR="00C5017A" w:rsidRPr="005601F2">
        <w:t>.</w:t>
      </w:r>
      <w:r w:rsidR="00BE660A" w:rsidRPr="005601F2">
        <w:t xml:space="preserve"> </w:t>
      </w:r>
      <w:hyperlink r:id="rId14" w:history="1">
        <w:r w:rsidR="0036290A" w:rsidRPr="005601F2">
          <w:rPr>
            <w:rStyle w:val="Hyperlink"/>
          </w:rPr>
          <w:t>Godišnje izvješće o jedinstvenom tržištu za 2023</w:t>
        </w:r>
      </w:hyperlink>
      <w:r w:rsidR="0036290A" w:rsidRPr="005601F2">
        <w:rPr>
          <w:rStyle w:val="FootnoteReference"/>
        </w:rPr>
        <w:footnoteReference w:id="2"/>
      </w:r>
      <w:r w:rsidR="0036290A" w:rsidRPr="005601F2">
        <w:t xml:space="preserve"> Europske komisije navodi važnost</w:t>
      </w:r>
      <w:r w:rsidR="0036290A" w:rsidRPr="005601F2">
        <w:rPr>
          <w:b/>
        </w:rPr>
        <w:t xml:space="preserve"> suradnje </w:t>
      </w:r>
      <w:r w:rsidR="00C64850" w:rsidRPr="005601F2">
        <w:rPr>
          <w:b/>
        </w:rPr>
        <w:t>Europske k</w:t>
      </w:r>
      <w:r w:rsidR="0036290A" w:rsidRPr="005601F2">
        <w:rPr>
          <w:b/>
        </w:rPr>
        <w:t>omisije i nacionalnih institucija</w:t>
      </w:r>
      <w:r w:rsidR="0036290A" w:rsidRPr="005601F2">
        <w:t xml:space="preserve"> kroz</w:t>
      </w:r>
      <w:r w:rsidR="0036290A" w:rsidRPr="005601F2">
        <w:rPr>
          <w:b/>
        </w:rPr>
        <w:t xml:space="preserve"> sustavni i strukturirani mehanizam za suradnju, razvoj i provedbu javnih politika za upravljanje jedinstvenim tržištem usluga. </w:t>
      </w:r>
      <w:r w:rsidR="0036290A" w:rsidRPr="005601F2">
        <w:t xml:space="preserve">Navedeno je bitno s obzirom da su </w:t>
      </w:r>
      <w:r w:rsidR="0036290A" w:rsidRPr="005601F2">
        <w:rPr>
          <w:b/>
        </w:rPr>
        <w:t>usluge temeljni inputi za proizvodnju, generirajući oko 38% ukupne dodane vrijednosti ugrađene u potražnju industrijske proizvodnje EU-a.</w:t>
      </w:r>
      <w:r w:rsidR="0036290A" w:rsidRPr="005601F2">
        <w:rPr>
          <w:bCs/>
        </w:rPr>
        <w:t xml:space="preserve"> </w:t>
      </w:r>
    </w:p>
    <w:p w14:paraId="02CB3097" w14:textId="77777777" w:rsidR="00BE660A" w:rsidRPr="005601F2" w:rsidRDefault="00BE660A" w:rsidP="00E1705C">
      <w:pPr>
        <w:jc w:val="both"/>
      </w:pPr>
    </w:p>
    <w:p w14:paraId="153C1954" w14:textId="78C1F4EF" w:rsidR="0036290A" w:rsidRPr="005601F2" w:rsidRDefault="00C24105" w:rsidP="00E1705C">
      <w:pPr>
        <w:jc w:val="both"/>
      </w:pPr>
      <w:hyperlink r:id="rId15" w:history="1">
        <w:r w:rsidR="0036290A" w:rsidRPr="005601F2">
          <w:rPr>
            <w:rStyle w:val="Hyperlink"/>
          </w:rPr>
          <w:t>Godišnje izvješće o jedinstvenom tržištu za 2022</w:t>
        </w:r>
      </w:hyperlink>
      <w:r w:rsidR="0036290A" w:rsidRPr="005601F2">
        <w:rPr>
          <w:rStyle w:val="FootnoteReference"/>
        </w:rPr>
        <w:footnoteReference w:id="3"/>
      </w:r>
      <w:r w:rsidR="0036290A" w:rsidRPr="005601F2">
        <w:t xml:space="preserve"> Europske komisije navodi kako smanjivanje regulatorne restriktivnosti u području usluga može povećati konkurentnost, produktivnost, ulaganja i inovacije. Konkretno,</w:t>
      </w:r>
      <w:r w:rsidR="0036290A" w:rsidRPr="005601F2">
        <w:rPr>
          <w:b/>
        </w:rPr>
        <w:t xml:space="preserve"> </w:t>
      </w:r>
      <w:r w:rsidR="00646FC7" w:rsidRPr="005601F2">
        <w:rPr>
          <w:b/>
        </w:rPr>
        <w:t>Europska k</w:t>
      </w:r>
      <w:r w:rsidR="0036290A" w:rsidRPr="005601F2">
        <w:rPr>
          <w:b/>
        </w:rPr>
        <w:t>omisija procjenjuje kako bi u slučaju ambiciozne provedbe reformi usmjerenih na smanjivanje regulatornih prepreka uslugama na razinu prosjeka pet najmanje reguliranih država članica doprinijelo rastu BDP-a EU-a za dodatnih 2,5 postotnih bodova</w:t>
      </w:r>
      <w:r w:rsidR="0036290A" w:rsidRPr="005601F2">
        <w:t>. Navedeno se izvješće poziva na ekonomsku analizu Komisije o gospodarskom učinku EU regulacije uslužnog sektora (</w:t>
      </w:r>
      <w:hyperlink r:id="rId16" w:history="1">
        <w:r w:rsidR="0036290A" w:rsidRPr="005601F2">
          <w:rPr>
            <w:rStyle w:val="Hyperlink"/>
            <w:i/>
            <w:iCs/>
          </w:rPr>
          <w:t>A general equilibrium analysis of the economic impact of the post-2006 EU regulation in the services sector</w:t>
        </w:r>
      </w:hyperlink>
      <w:r w:rsidR="0036290A" w:rsidRPr="005601F2">
        <w:rPr>
          <w:rStyle w:val="FootnoteReference"/>
        </w:rPr>
        <w:footnoteReference w:id="4"/>
      </w:r>
      <w:r w:rsidR="0036290A" w:rsidRPr="005601F2">
        <w:t xml:space="preserve">) iz 2022. godine, prema kojemu </w:t>
      </w:r>
      <w:r w:rsidR="00E4233F" w:rsidRPr="005601F2">
        <w:t xml:space="preserve">bi </w:t>
      </w:r>
      <w:r w:rsidR="0036290A" w:rsidRPr="005601F2">
        <w:t xml:space="preserve">regulatorne reforme usmjerene na uklanjanje prepreka uslugama imale pozitivan učinak na rast BDP-a EU-a. Reforme provedene tijekom 2007.-2017. godine ostvarit će do 2027. godine kumulativni doprinos rast BDP-a od 2,1%, dok se </w:t>
      </w:r>
      <w:r w:rsidR="0036290A" w:rsidRPr="005601F2">
        <w:rPr>
          <w:bCs/>
        </w:rPr>
        <w:t>u slučaju ambicioznih reformi</w:t>
      </w:r>
      <w:r w:rsidR="0036290A" w:rsidRPr="005601F2">
        <w:rPr>
          <w:b/>
        </w:rPr>
        <w:t xml:space="preserve"> </w:t>
      </w:r>
      <w:r w:rsidR="0036290A" w:rsidRPr="005601F2">
        <w:t xml:space="preserve">(koje bi dovele do deregulacije na razini pet najniže reguliranih država članica) procjenjuje </w:t>
      </w:r>
      <w:r w:rsidR="0036290A" w:rsidRPr="005601F2">
        <w:rPr>
          <w:b/>
        </w:rPr>
        <w:t xml:space="preserve">dodatni </w:t>
      </w:r>
      <w:r w:rsidR="0036290A" w:rsidRPr="005601F2">
        <w:rPr>
          <w:b/>
        </w:rPr>
        <w:lastRenderedPageBreak/>
        <w:t>potencijal rasta na 2,5% 2027. Kumulativna kombinacija navedenog ostvarenog i potencijalnog doprinosa ambicioznih reformi u području usluga dalo bi doprinos rastu BDP-a Europske unije od 4,6% do 2027. godine</w:t>
      </w:r>
      <w:r w:rsidR="0036290A" w:rsidRPr="005601F2">
        <w:rPr>
          <w:bCs/>
        </w:rPr>
        <w:t>, uz povećanje zaposlenosti</w:t>
      </w:r>
      <w:r w:rsidR="00E4233F" w:rsidRPr="005601F2">
        <w:rPr>
          <w:bCs/>
        </w:rPr>
        <w:t>.</w:t>
      </w:r>
    </w:p>
    <w:p w14:paraId="3DA467E9" w14:textId="77777777" w:rsidR="0036290A" w:rsidRPr="005601F2" w:rsidRDefault="0036290A" w:rsidP="00E1705C">
      <w:pPr>
        <w:pStyle w:val="Default"/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bookmarkStart w:id="1" w:name="_Hlk187842339"/>
    <w:p w14:paraId="6733188E" w14:textId="342F2DA0" w:rsidR="0036290A" w:rsidRPr="005601F2" w:rsidRDefault="0036290A" w:rsidP="00E1705C">
      <w:pPr>
        <w:jc w:val="both"/>
      </w:pPr>
      <w:r w:rsidRPr="005601F2">
        <w:fldChar w:fldCharType="begin"/>
      </w:r>
      <w:r w:rsidRPr="005601F2">
        <w:instrText>HYPERLINK "https://ec.europa.eu/info/files/staff-working-document-annual-single-market-report-2021_en"</w:instrText>
      </w:r>
      <w:r w:rsidRPr="005601F2">
        <w:fldChar w:fldCharType="separate"/>
      </w:r>
      <w:r w:rsidRPr="005601F2">
        <w:rPr>
          <w:rStyle w:val="Hyperlink"/>
        </w:rPr>
        <w:t>Godišnje izvješće o jedinstvenom tržištu za 2021</w:t>
      </w:r>
      <w:r w:rsidRPr="005601F2">
        <w:fldChar w:fldCharType="end"/>
      </w:r>
      <w:r w:rsidRPr="005601F2">
        <w:rPr>
          <w:rStyle w:val="FootnoteReference"/>
        </w:rPr>
        <w:footnoteReference w:id="5"/>
      </w:r>
      <w:r w:rsidRPr="005601F2">
        <w:t xml:space="preserve"> Europske komisije navodi kako bi potpuna implementacija </w:t>
      </w:r>
      <w:r w:rsidR="000B7469" w:rsidRPr="005601F2">
        <w:t>D</w:t>
      </w:r>
      <w:r w:rsidRPr="005601F2">
        <w:t xml:space="preserve">irektive </w:t>
      </w:r>
      <w:r w:rsidR="000B7469" w:rsidRPr="005601F2">
        <w:t xml:space="preserve">o uslugama </w:t>
      </w:r>
      <w:r w:rsidRPr="005601F2">
        <w:t xml:space="preserve">mogla povisiti razinu BDP-a </w:t>
      </w:r>
      <w:r w:rsidR="000B7469" w:rsidRPr="005601F2">
        <w:t xml:space="preserve">EU-a </w:t>
      </w:r>
      <w:r w:rsidRPr="005601F2">
        <w:t xml:space="preserve">za 1,7%. </w:t>
      </w:r>
      <w:r w:rsidR="00D06274" w:rsidRPr="005601F2">
        <w:t>Usluge su</w:t>
      </w:r>
      <w:r w:rsidRPr="005601F2">
        <w:t xml:space="preserve"> </w:t>
      </w:r>
      <w:r w:rsidRPr="005601F2">
        <w:rPr>
          <w:b/>
        </w:rPr>
        <w:t>2011. stvarale 40% dodane vrijednosti industrijske proizvodnje i izvoza te 25% do 60% zaposlenosti u industriji</w:t>
      </w:r>
      <w:r w:rsidRPr="005601F2">
        <w:t xml:space="preserve">. Pritom je </w:t>
      </w:r>
      <w:r w:rsidRPr="005601F2">
        <w:rPr>
          <w:b/>
        </w:rPr>
        <w:t>ključna gospodarska uloga profesionalnih i poslovnih usluga koj</w:t>
      </w:r>
      <w:r w:rsidR="00D06274" w:rsidRPr="005601F2">
        <w:rPr>
          <w:b/>
        </w:rPr>
        <w:t>e</w:t>
      </w:r>
      <w:r w:rsidRPr="005601F2">
        <w:rPr>
          <w:b/>
        </w:rPr>
        <w:t xml:space="preserve"> predstavlja</w:t>
      </w:r>
      <w:r w:rsidR="00D06274" w:rsidRPr="005601F2">
        <w:rPr>
          <w:b/>
        </w:rPr>
        <w:t>ju</w:t>
      </w:r>
      <w:r w:rsidRPr="005601F2">
        <w:rPr>
          <w:b/>
        </w:rPr>
        <w:t xml:space="preserve"> 13% dodane vrijednosti</w:t>
      </w:r>
      <w:r w:rsidRPr="005601F2">
        <w:t xml:space="preserve"> gospodarstva i ključne inpute za mnoge </w:t>
      </w:r>
      <w:r w:rsidR="00687F8B" w:rsidRPr="005601F2">
        <w:t>sektore</w:t>
      </w:r>
      <w:r w:rsidRPr="005601F2">
        <w:t xml:space="preserve">. </w:t>
      </w:r>
      <w:bookmarkEnd w:id="1"/>
    </w:p>
    <w:p w14:paraId="2E41E14B" w14:textId="77777777" w:rsidR="0036290A" w:rsidRPr="005601F2" w:rsidRDefault="0036290A" w:rsidP="00E1705C">
      <w:pPr>
        <w:jc w:val="both"/>
      </w:pPr>
    </w:p>
    <w:p w14:paraId="306CCEB1" w14:textId="128A4AB9" w:rsidR="0036290A" w:rsidRPr="005601F2" w:rsidRDefault="00247D62" w:rsidP="00E1705C">
      <w:pPr>
        <w:jc w:val="both"/>
      </w:pPr>
      <w:r w:rsidRPr="005601F2">
        <w:t>A</w:t>
      </w:r>
      <w:r w:rsidR="0036290A" w:rsidRPr="005601F2">
        <w:t>naliz</w:t>
      </w:r>
      <w:r w:rsidRPr="005601F2">
        <w:t>a</w:t>
      </w:r>
      <w:r w:rsidR="0036290A" w:rsidRPr="005601F2">
        <w:t xml:space="preserve"> </w:t>
      </w:r>
      <w:hyperlink r:id="rId17" w:history="1">
        <w:r w:rsidR="0036290A" w:rsidRPr="005601F2">
          <w:rPr>
            <w:rStyle w:val="Hyperlink"/>
          </w:rPr>
          <w:t>Ostvarenje jedinstvenog tržišta usluga</w:t>
        </w:r>
      </w:hyperlink>
      <w:r w:rsidR="0036290A" w:rsidRPr="005601F2">
        <w:rPr>
          <w:rStyle w:val="FootnoteReference"/>
        </w:rPr>
        <w:footnoteReference w:id="6"/>
      </w:r>
      <w:r w:rsidR="0036290A" w:rsidRPr="005601F2">
        <w:rPr>
          <w:rStyle w:val="Hyperlink"/>
          <w:u w:val="none"/>
        </w:rPr>
        <w:t xml:space="preserve"> </w:t>
      </w:r>
      <w:r w:rsidR="0036290A" w:rsidRPr="005601F2">
        <w:t>Europskog parlamenta iz 2022.</w:t>
      </w:r>
      <w:r w:rsidRPr="005601F2">
        <w:t xml:space="preserve"> navodi kako</w:t>
      </w:r>
      <w:r w:rsidR="0036290A" w:rsidRPr="005601F2">
        <w:t xml:space="preserve"> </w:t>
      </w:r>
      <w:r w:rsidR="0036290A" w:rsidRPr="005601F2">
        <w:rPr>
          <w:b/>
        </w:rPr>
        <w:t>smanjivanje prepreka koje ograničavaju slobodu pružanja usluga može u dva dugoročna scenarija donijeti europskom gospodarstvu dodatnih 279 do 457 milijardi EUR rasta BDP-a na godišnjoj razini.</w:t>
      </w:r>
      <w:r w:rsidR="0036290A" w:rsidRPr="005601F2">
        <w:t xml:space="preserve"> U analizi se koristi tzv. gravitacijski model kojim se u milijardama EUR mjeri učinak uklanjanja prepreka na udio unutarnje trgovine uslugama u BDP-u (iz 2019.) i ukupan opseg izvoza usluga na unutarnjem tržištu, </w:t>
      </w:r>
      <w:bookmarkStart w:id="2" w:name="_Hlk103778610"/>
      <w:r w:rsidR="0036290A" w:rsidRPr="005601F2">
        <w:t>uključujući specifičnosti prekogranične geografske blizine i udaljenosti</w:t>
      </w:r>
      <w:bookmarkEnd w:id="2"/>
      <w:r w:rsidR="0036290A" w:rsidRPr="005601F2">
        <w:t xml:space="preserve">. Pritom se </w:t>
      </w:r>
      <w:r w:rsidR="0036290A" w:rsidRPr="005601F2">
        <w:rPr>
          <w:b/>
        </w:rPr>
        <w:t xml:space="preserve">koriste podaci o regulatornoj restriktivnosti iz OECD-ove metodologije </w:t>
      </w:r>
      <w:r w:rsidR="0036290A" w:rsidRPr="005601F2">
        <w:rPr>
          <w:b/>
          <w:i/>
          <w:iCs/>
        </w:rPr>
        <w:t>Product Market Regulation</w:t>
      </w:r>
      <w:r w:rsidR="0036290A" w:rsidRPr="005601F2">
        <w:t xml:space="preserve">. Analiza pretpostavlja dva scenarija dinamike reformi na tržištu usluga: 1. glavni scenarij pretpostavlja smanjivanje regulatornih prepreka za 50% u odnosu na najbolje države članice (s najnižom razinom regulacije usluga); 2. ambiciozni scenarij pretpostavlja deregulaciju od 80% u odnosu na najbolje države članice. Također, </w:t>
      </w:r>
      <w:r w:rsidR="0036290A" w:rsidRPr="005601F2">
        <w:rPr>
          <w:b/>
          <w:bCs/>
        </w:rPr>
        <w:t xml:space="preserve">kao glavne prepreke provedbi Direktive o uslugama ističu se fragmentirana nacionalna pravila za usluge, prekomjerni administrativni zahtjevi i složene procedure za usluge </w:t>
      </w:r>
      <w:r w:rsidR="0036290A" w:rsidRPr="005601F2">
        <w:t xml:space="preserve">te nedostupnost </w:t>
      </w:r>
      <w:r w:rsidR="00D06274" w:rsidRPr="005601F2">
        <w:t>informacija.</w:t>
      </w:r>
    </w:p>
    <w:p w14:paraId="59422AF9" w14:textId="77777777" w:rsidR="0036290A" w:rsidRPr="005601F2" w:rsidRDefault="0036290A" w:rsidP="00E1705C">
      <w:pPr>
        <w:jc w:val="both"/>
        <w:rPr>
          <w:iCs/>
        </w:rPr>
      </w:pPr>
    </w:p>
    <w:p w14:paraId="5A778805" w14:textId="7CF2B772" w:rsidR="0036290A" w:rsidRPr="005601F2" w:rsidRDefault="0036290A" w:rsidP="00E1705C">
      <w:pPr>
        <w:pStyle w:val="Default"/>
        <w:spacing w:after="0" w:line="240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5601F2">
        <w:rPr>
          <w:rFonts w:ascii="Times New Roman" w:hAnsi="Times New Roman" w:cs="Times New Roman"/>
          <w:color w:val="auto"/>
          <w:lang w:val="hr-HR"/>
        </w:rPr>
        <w:lastRenderedPageBreak/>
        <w:t xml:space="preserve">U dokumentu Europske komisije </w:t>
      </w:r>
      <w:hyperlink r:id="rId18" w:history="1">
        <w:r w:rsidR="009A40F5" w:rsidRPr="005601F2">
          <w:rPr>
            <w:rStyle w:val="Hyperlink"/>
            <w:rFonts w:ascii="Times New Roman" w:hAnsi="Times New Roman" w:cs="Times New Roman"/>
            <w:shd w:val="clear" w:color="auto" w:fill="FFFFFF"/>
            <w:lang w:val="hr-HR"/>
          </w:rPr>
          <w:t>U</w:t>
        </w:r>
        <w:r w:rsidRPr="005601F2">
          <w:rPr>
            <w:rStyle w:val="Hyperlink"/>
            <w:rFonts w:ascii="Times New Roman" w:hAnsi="Times New Roman" w:cs="Times New Roman"/>
            <w:shd w:val="clear" w:color="auto" w:fill="FFFFFF"/>
            <w:lang w:val="hr-HR"/>
          </w:rPr>
          <w:t>tvrđivanj</w:t>
        </w:r>
        <w:r w:rsidR="009A40F5" w:rsidRPr="005601F2">
          <w:rPr>
            <w:rStyle w:val="Hyperlink"/>
            <w:rFonts w:ascii="Times New Roman" w:hAnsi="Times New Roman" w:cs="Times New Roman"/>
            <w:shd w:val="clear" w:color="auto" w:fill="FFFFFF"/>
            <w:lang w:val="hr-HR"/>
          </w:rPr>
          <w:t>e</w:t>
        </w:r>
        <w:r w:rsidRPr="005601F2">
          <w:rPr>
            <w:rStyle w:val="Hyperlink"/>
            <w:rFonts w:ascii="Times New Roman" w:hAnsi="Times New Roman" w:cs="Times New Roman"/>
            <w:shd w:val="clear" w:color="auto" w:fill="FFFFFF"/>
            <w:lang w:val="hr-HR"/>
          </w:rPr>
          <w:t xml:space="preserve"> i uklanjanj</w:t>
        </w:r>
        <w:r w:rsidR="009A40F5" w:rsidRPr="005601F2">
          <w:rPr>
            <w:rStyle w:val="Hyperlink"/>
            <w:rFonts w:ascii="Times New Roman" w:hAnsi="Times New Roman" w:cs="Times New Roman"/>
            <w:shd w:val="clear" w:color="auto" w:fill="FFFFFF"/>
            <w:lang w:val="hr-HR"/>
          </w:rPr>
          <w:t>e</w:t>
        </w:r>
        <w:r w:rsidRPr="005601F2">
          <w:rPr>
            <w:rStyle w:val="Hyperlink"/>
            <w:rFonts w:ascii="Times New Roman" w:hAnsi="Times New Roman" w:cs="Times New Roman"/>
            <w:shd w:val="clear" w:color="auto" w:fill="FFFFFF"/>
            <w:lang w:val="hr-HR"/>
          </w:rPr>
          <w:t xml:space="preserve"> prepreka na jedinstvenom tržištu</w:t>
        </w:r>
      </w:hyperlink>
      <w:r w:rsidRPr="005601F2">
        <w:rPr>
          <w:rStyle w:val="FootnoteReference"/>
          <w:rFonts w:ascii="Times New Roman" w:hAnsi="Times New Roman" w:cs="Times New Roman"/>
          <w:color w:val="auto"/>
          <w:shd w:val="clear" w:color="auto" w:fill="FFFFFF"/>
          <w:lang w:val="hr-HR"/>
        </w:rPr>
        <w:footnoteReference w:id="7"/>
      </w:r>
      <w:r w:rsidRPr="005601F2">
        <w:rPr>
          <w:rFonts w:ascii="Times New Roman" w:hAnsi="Times New Roman" w:cs="Times New Roman"/>
          <w:color w:val="auto"/>
          <w:shd w:val="clear" w:color="auto" w:fill="FFFFFF"/>
          <w:lang w:val="hr-HR"/>
        </w:rPr>
        <w:t>,</w:t>
      </w:r>
      <w:r w:rsidRPr="005601F2">
        <w:rPr>
          <w:rFonts w:ascii="Times New Roman" w:hAnsi="Times New Roman" w:cs="Times New Roman"/>
          <w:color w:val="auto"/>
          <w:lang w:val="hr-HR"/>
        </w:rPr>
        <w:t xml:space="preserve"> </w:t>
      </w:r>
      <w:r w:rsidRPr="005601F2">
        <w:rPr>
          <w:rStyle w:val="Hyperlink"/>
          <w:rFonts w:ascii="Times New Roman" w:hAnsi="Times New Roman" w:cs="Times New Roman"/>
          <w:color w:val="auto"/>
          <w:u w:val="none"/>
          <w:lang w:val="hr-HR"/>
        </w:rPr>
        <w:t xml:space="preserve">ističe se </w:t>
      </w:r>
      <w:r w:rsidR="009A40F5" w:rsidRPr="005601F2">
        <w:rPr>
          <w:rFonts w:ascii="Times New Roman" w:hAnsi="Times New Roman" w:cs="Times New Roman"/>
          <w:b/>
          <w:color w:val="auto"/>
          <w:lang w:val="hr-HR"/>
        </w:rPr>
        <w:t xml:space="preserve">potencijal povećanja ulazaka na tržište </w:t>
      </w:r>
      <w:r w:rsidR="009A40F5" w:rsidRPr="005601F2">
        <w:rPr>
          <w:rFonts w:ascii="Times New Roman" w:hAnsi="Times New Roman" w:cs="Times New Roman"/>
          <w:bCs/>
          <w:color w:val="auto"/>
          <w:lang w:val="hr-HR"/>
        </w:rPr>
        <w:t>(</w:t>
      </w:r>
      <w:r w:rsidR="009A40F5" w:rsidRPr="005601F2">
        <w:rPr>
          <w:rStyle w:val="Hyperlink"/>
          <w:rFonts w:ascii="Times New Roman" w:hAnsi="Times New Roman" w:cs="Times New Roman"/>
          <w:color w:val="auto"/>
          <w:u w:val="none"/>
          <w:lang w:val="hr-HR"/>
        </w:rPr>
        <w:t>na razini EU-a)</w:t>
      </w:r>
      <w:r w:rsidRPr="005601F2">
        <w:rPr>
          <w:rStyle w:val="Hyperlink"/>
          <w:rFonts w:ascii="Times New Roman" w:hAnsi="Times New Roman" w:cs="Times New Roman"/>
          <w:color w:val="auto"/>
          <w:u w:val="none"/>
          <w:lang w:val="hr-HR"/>
        </w:rPr>
        <w:t xml:space="preserve"> </w:t>
      </w:r>
      <w:r w:rsidR="009A40F5" w:rsidRPr="005601F2">
        <w:rPr>
          <w:rStyle w:val="Hyperlink"/>
          <w:rFonts w:ascii="Times New Roman" w:hAnsi="Times New Roman" w:cs="Times New Roman"/>
          <w:color w:val="auto"/>
          <w:u w:val="none"/>
          <w:lang w:val="hr-HR"/>
        </w:rPr>
        <w:t xml:space="preserve">od barem 10% u slučaju </w:t>
      </w:r>
      <w:r w:rsidRPr="005601F2">
        <w:rPr>
          <w:rFonts w:ascii="Times New Roman" w:hAnsi="Times New Roman" w:cs="Times New Roman"/>
          <w:color w:val="auto"/>
          <w:lang w:val="hr-HR"/>
        </w:rPr>
        <w:t>smanjenj</w:t>
      </w:r>
      <w:r w:rsidR="009A40F5" w:rsidRPr="005601F2">
        <w:rPr>
          <w:rFonts w:ascii="Times New Roman" w:hAnsi="Times New Roman" w:cs="Times New Roman"/>
          <w:color w:val="auto"/>
          <w:lang w:val="hr-HR"/>
        </w:rPr>
        <w:t>a</w:t>
      </w:r>
      <w:r w:rsidRPr="005601F2">
        <w:rPr>
          <w:rFonts w:ascii="Times New Roman" w:hAnsi="Times New Roman" w:cs="Times New Roman"/>
          <w:color w:val="auto"/>
          <w:lang w:val="hr-HR"/>
        </w:rPr>
        <w:t xml:space="preserve"> reguliranja inženjera</w:t>
      </w:r>
      <w:r w:rsidR="009A40F5" w:rsidRPr="005601F2">
        <w:rPr>
          <w:rFonts w:ascii="Times New Roman" w:hAnsi="Times New Roman" w:cs="Times New Roman"/>
          <w:color w:val="auto"/>
          <w:lang w:val="hr-HR"/>
        </w:rPr>
        <w:t xml:space="preserve">, </w:t>
      </w:r>
      <w:r w:rsidRPr="005601F2">
        <w:rPr>
          <w:rFonts w:ascii="Times New Roman" w:hAnsi="Times New Roman" w:cs="Times New Roman"/>
          <w:color w:val="auto"/>
          <w:lang w:val="hr-HR"/>
        </w:rPr>
        <w:t>arhitekata</w:t>
      </w:r>
      <w:r w:rsidR="009A40F5" w:rsidRPr="005601F2">
        <w:rPr>
          <w:rFonts w:ascii="Times New Roman" w:hAnsi="Times New Roman" w:cs="Times New Roman"/>
          <w:color w:val="auto"/>
          <w:lang w:val="hr-HR"/>
        </w:rPr>
        <w:t xml:space="preserve">, </w:t>
      </w:r>
      <w:r w:rsidRPr="005601F2">
        <w:rPr>
          <w:rFonts w:ascii="Times New Roman" w:hAnsi="Times New Roman" w:cs="Times New Roman"/>
          <w:color w:val="auto"/>
          <w:lang w:val="hr-HR"/>
        </w:rPr>
        <w:t>računovođa</w:t>
      </w:r>
      <w:r w:rsidR="009A40F5" w:rsidRPr="005601F2">
        <w:rPr>
          <w:rFonts w:ascii="Times New Roman" w:hAnsi="Times New Roman" w:cs="Times New Roman"/>
          <w:color w:val="auto"/>
          <w:lang w:val="hr-HR"/>
        </w:rPr>
        <w:t>, p</w:t>
      </w:r>
      <w:r w:rsidRPr="005601F2">
        <w:rPr>
          <w:rFonts w:ascii="Times New Roman" w:hAnsi="Times New Roman" w:cs="Times New Roman"/>
          <w:color w:val="auto"/>
          <w:lang w:val="hr-HR"/>
        </w:rPr>
        <w:t xml:space="preserve">oreznih savjetnika </w:t>
      </w:r>
      <w:r w:rsidR="009A40F5" w:rsidRPr="005601F2">
        <w:rPr>
          <w:rFonts w:ascii="Times New Roman" w:hAnsi="Times New Roman" w:cs="Times New Roman"/>
          <w:color w:val="auto"/>
          <w:lang w:val="hr-HR"/>
        </w:rPr>
        <w:t>i odvjetnika.</w:t>
      </w:r>
    </w:p>
    <w:p w14:paraId="55F68416" w14:textId="77777777" w:rsidR="00CC3243" w:rsidRPr="005601F2" w:rsidRDefault="00CC3243" w:rsidP="00E1705C">
      <w:pPr>
        <w:pStyle w:val="Default"/>
        <w:spacing w:after="0" w:line="240" w:lineRule="auto"/>
        <w:jc w:val="both"/>
        <w:rPr>
          <w:rFonts w:ascii="Times New Roman" w:hAnsi="Times New Roman" w:cs="Times New Roman"/>
          <w:color w:val="auto"/>
          <w:lang w:val="hr-HR"/>
        </w:rPr>
      </w:pPr>
    </w:p>
    <w:p w14:paraId="6E2C8A41" w14:textId="7327D3ED" w:rsidR="00CC3243" w:rsidRPr="005601F2" w:rsidRDefault="00CC3243" w:rsidP="00CC3243">
      <w:pPr>
        <w:jc w:val="both"/>
        <w:rPr>
          <w:rFonts w:eastAsia="Calibri"/>
          <w:noProof/>
        </w:rPr>
      </w:pPr>
      <w:r w:rsidRPr="005601F2">
        <w:rPr>
          <w:rFonts w:eastAsia="Calibri"/>
          <w:noProof/>
        </w:rPr>
        <w:t xml:space="preserve">Prema relevantnoj analizi Svjetske banke </w:t>
      </w:r>
      <w:hyperlink r:id="rId19" w:history="1">
        <w:r w:rsidRPr="005601F2">
          <w:rPr>
            <w:rStyle w:val="Hyperlink"/>
            <w:rFonts w:eastAsia="Calibri"/>
            <w:noProof/>
          </w:rPr>
          <w:t>Odobrenje za natjecanje: Reforma reguliranih profesija u Hrvatskoj</w:t>
        </w:r>
      </w:hyperlink>
      <w:r w:rsidRPr="005601F2">
        <w:rPr>
          <w:rStyle w:val="FootnoteReference"/>
          <w:rFonts w:eastAsia="Calibri"/>
          <w:noProof/>
          <w:color w:val="0000FF"/>
        </w:rPr>
        <w:footnoteReference w:id="8"/>
      </w:r>
      <w:r w:rsidRPr="005601F2">
        <w:rPr>
          <w:rFonts w:eastAsia="Calibri"/>
          <w:noProof/>
        </w:rPr>
        <w:t xml:space="preserve"> iz 2020. veća tržišna konkurencija u uslugama može biti motor rasta. Štoviše, </w:t>
      </w:r>
      <w:r w:rsidRPr="005601F2">
        <w:rPr>
          <w:rFonts w:eastAsia="Calibri"/>
          <w:b/>
          <w:bCs/>
          <w:noProof/>
        </w:rPr>
        <w:t>produktivnost bi prosječno mogla porasti za 5,7% ukoliko bi se uklonile restriktivne regulacije</w:t>
      </w:r>
      <w:r w:rsidRPr="005601F2">
        <w:rPr>
          <w:rFonts w:eastAsia="Calibri"/>
          <w:noProof/>
        </w:rPr>
        <w:t xml:space="preserve"> koje štite manje produktivne firme u odnosu na produktivnije i efikasnije konkurentske firme. Nadalje, ističe se kako </w:t>
      </w:r>
      <w:r w:rsidRPr="005601F2">
        <w:rPr>
          <w:rFonts w:eastAsia="Calibri"/>
          <w:b/>
          <w:noProof/>
        </w:rPr>
        <w:t>usluge osiguravaju i ključne inpute za industrijsku proizvodnju</w:t>
      </w:r>
      <w:r w:rsidRPr="005601F2">
        <w:rPr>
          <w:rFonts w:eastAsia="Calibri"/>
          <w:noProof/>
        </w:rPr>
        <w:t>. Profesije su važne za funkcioniranje gospodarstva</w:t>
      </w:r>
      <w:r w:rsidR="00C64850" w:rsidRPr="005601F2">
        <w:rPr>
          <w:rFonts w:eastAsia="Calibri"/>
          <w:noProof/>
        </w:rPr>
        <w:t xml:space="preserve"> i</w:t>
      </w:r>
      <w:r w:rsidRPr="005601F2">
        <w:rPr>
          <w:rFonts w:eastAsia="Calibri"/>
          <w:noProof/>
        </w:rPr>
        <w:t xml:space="preserve"> tržišne transakcije. </w:t>
      </w:r>
      <w:r w:rsidRPr="005601F2">
        <w:rPr>
          <w:rFonts w:eastAsia="Calibri"/>
          <w:noProof/>
          <w:u w:color="434343"/>
          <w:bdr w:val="nil"/>
          <w:lang w:eastAsia="en-GB"/>
        </w:rPr>
        <w:t xml:space="preserve">Prema analizi Svjetske banke </w:t>
      </w:r>
      <w:hyperlink r:id="rId20" w:history="1">
        <w:r w:rsidRPr="005601F2">
          <w:rPr>
            <w:rStyle w:val="Hyperlink"/>
            <w:rFonts w:eastAsia="Calibri"/>
            <w:noProof/>
            <w:u w:color="434343"/>
            <w:bdr w:val="nil"/>
            <w:lang w:eastAsia="en-GB"/>
          </w:rPr>
          <w:t>Reforme produktivnosti mogu potaknuti rast i životni standard u Hrvatskoj</w:t>
        </w:r>
      </w:hyperlink>
      <w:r w:rsidRPr="005601F2">
        <w:rPr>
          <w:rStyle w:val="FootnoteReference"/>
          <w:rFonts w:eastAsia="Calibri"/>
          <w:noProof/>
          <w:color w:val="0000FF"/>
          <w:bdr w:val="nil"/>
          <w:lang w:eastAsia="en-GB"/>
        </w:rPr>
        <w:footnoteReference w:id="9"/>
      </w:r>
      <w:r w:rsidRPr="005601F2">
        <w:rPr>
          <w:rFonts w:eastAsia="Calibri"/>
          <w:noProof/>
          <w:bdr w:val="nil"/>
          <w:lang w:eastAsia="en-GB"/>
        </w:rPr>
        <w:t xml:space="preserve"> </w:t>
      </w:r>
      <w:r w:rsidRPr="005601F2">
        <w:rPr>
          <w:rFonts w:eastAsia="Calibri"/>
          <w:noProof/>
          <w:u w:color="434343"/>
          <w:bdr w:val="nil"/>
          <w:lang w:eastAsia="en-GB"/>
        </w:rPr>
        <w:t xml:space="preserve">iz 2023., ističe kako </w:t>
      </w:r>
      <w:r w:rsidRPr="005601F2">
        <w:rPr>
          <w:rFonts w:eastAsia="Calibri"/>
          <w:b/>
          <w:noProof/>
          <w:u w:color="434343"/>
          <w:bdr w:val="nil"/>
          <w:lang w:eastAsia="en-GB"/>
        </w:rPr>
        <w:t>ograničenja štite postojeće firme i povećavaju ulazne troškove te stoga mogu utjecati na produktivnost u gospodarstvu</w:t>
      </w:r>
      <w:r w:rsidRPr="005601F2">
        <w:rPr>
          <w:rFonts w:eastAsia="Calibri"/>
          <w:noProof/>
          <w:u w:color="434343"/>
          <w:bdr w:val="nil"/>
          <w:lang w:eastAsia="en-GB"/>
        </w:rPr>
        <w:t xml:space="preserve"> s obzirom da smanjuju dostupnost posredničkih usluga visoke kvalitete koje firme koriste. U slučaju</w:t>
      </w:r>
      <w:r w:rsidRPr="005601F2">
        <w:rPr>
          <w:rFonts w:eastAsia="Calibri"/>
          <w:b/>
          <w:noProof/>
          <w:u w:color="434343"/>
          <w:bdr w:val="nil"/>
          <w:lang w:eastAsia="en-GB"/>
        </w:rPr>
        <w:t xml:space="preserve"> </w:t>
      </w:r>
      <w:r w:rsidRPr="005601F2">
        <w:rPr>
          <w:rFonts w:eastAsia="Calibri"/>
          <w:bCs/>
          <w:noProof/>
          <w:u w:color="434343"/>
          <w:bdr w:val="nil"/>
          <w:lang w:eastAsia="en-GB"/>
        </w:rPr>
        <w:t>smanjivanja regulacije profesionalnih usluga</w:t>
      </w:r>
      <w:r w:rsidRPr="005601F2">
        <w:rPr>
          <w:rFonts w:eastAsia="Calibri"/>
          <w:noProof/>
          <w:u w:color="434343"/>
          <w:bdr w:val="nil"/>
          <w:lang w:eastAsia="en-GB"/>
        </w:rPr>
        <w:t xml:space="preserve"> može se očekivati pozitivan učinak na povećanje produktivnosti, alokacije resursa i snižavanje troškova ulaska na tržište.</w:t>
      </w:r>
    </w:p>
    <w:p w14:paraId="7196CAE6" w14:textId="77777777" w:rsidR="0036290A" w:rsidRPr="005601F2" w:rsidRDefault="0036290A" w:rsidP="00E1705C">
      <w:pPr>
        <w:pStyle w:val="Default"/>
        <w:spacing w:after="0" w:line="240" w:lineRule="auto"/>
        <w:jc w:val="both"/>
        <w:rPr>
          <w:rFonts w:ascii="Times New Roman" w:hAnsi="Times New Roman" w:cs="Times New Roman"/>
          <w:b/>
          <w:color w:val="auto"/>
          <w:shd w:val="clear" w:color="auto" w:fill="FFFFFF"/>
          <w:lang w:val="hr-HR"/>
        </w:rPr>
      </w:pPr>
    </w:p>
    <w:p w14:paraId="2A135D7A" w14:textId="67EB3152" w:rsidR="00931D7D" w:rsidRPr="005601F2" w:rsidRDefault="00931D7D" w:rsidP="00E1705C">
      <w:pPr>
        <w:pStyle w:val="Defaul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shd w:val="clear" w:color="auto" w:fill="FFFFFF"/>
          <w:lang w:val="hr-HR"/>
        </w:rPr>
      </w:pPr>
      <w:r w:rsidRPr="005601F2">
        <w:rPr>
          <w:rFonts w:ascii="Times New Roman" w:hAnsi="Times New Roman" w:cs="Times New Roman"/>
          <w:b/>
          <w:color w:val="auto"/>
          <w:shd w:val="clear" w:color="auto" w:fill="FFFFFF"/>
          <w:lang w:val="hr-HR"/>
        </w:rPr>
        <w:t xml:space="preserve">Cilj i očekivani </w:t>
      </w:r>
      <w:r w:rsidR="00AE07C9" w:rsidRPr="005601F2">
        <w:rPr>
          <w:rFonts w:ascii="Times New Roman" w:hAnsi="Times New Roman" w:cs="Times New Roman"/>
          <w:b/>
          <w:color w:val="auto"/>
          <w:shd w:val="clear" w:color="auto" w:fill="FFFFFF"/>
          <w:lang w:val="hr-HR"/>
        </w:rPr>
        <w:t xml:space="preserve">gospodarski </w:t>
      </w:r>
      <w:r w:rsidRPr="005601F2">
        <w:rPr>
          <w:rFonts w:ascii="Times New Roman" w:hAnsi="Times New Roman" w:cs="Times New Roman"/>
          <w:b/>
          <w:color w:val="auto"/>
          <w:shd w:val="clear" w:color="auto" w:fill="FFFFFF"/>
          <w:lang w:val="hr-HR"/>
        </w:rPr>
        <w:t>učinci nastavka reforme</w:t>
      </w:r>
      <w:r w:rsidR="0036290A" w:rsidRPr="005601F2">
        <w:rPr>
          <w:rFonts w:ascii="Times New Roman" w:hAnsi="Times New Roman" w:cs="Times New Roman"/>
          <w:b/>
          <w:color w:val="auto"/>
          <w:shd w:val="clear" w:color="auto" w:fill="FFFFFF"/>
          <w:lang w:val="hr-HR"/>
        </w:rPr>
        <w:t xml:space="preserve"> usluga</w:t>
      </w:r>
    </w:p>
    <w:p w14:paraId="15799DE2" w14:textId="77777777" w:rsidR="00931D7D" w:rsidRPr="005601F2" w:rsidRDefault="00931D7D" w:rsidP="00E1705C">
      <w:pPr>
        <w:jc w:val="both"/>
        <w:rPr>
          <w:shd w:val="clear" w:color="auto" w:fill="FFFFFF"/>
        </w:rPr>
      </w:pPr>
    </w:p>
    <w:p w14:paraId="75AAA36A" w14:textId="3272E4DB" w:rsidR="00931D7D" w:rsidRPr="005601F2" w:rsidRDefault="00931D7D" w:rsidP="00E1705C">
      <w:pPr>
        <w:jc w:val="both"/>
      </w:pPr>
      <w:r w:rsidRPr="005601F2">
        <w:rPr>
          <w:shd w:val="clear" w:color="auto" w:fill="FFFFFF"/>
        </w:rPr>
        <w:t xml:space="preserve">Liberalizacija tržišta usluga nastavlja se </w:t>
      </w:r>
      <w:r w:rsidRPr="005601F2">
        <w:rPr>
          <w:rStyle w:val="Strong"/>
          <w:b w:val="0"/>
          <w:shd w:val="clear" w:color="auto" w:fill="FFFFFF"/>
        </w:rPr>
        <w:t>kroz</w:t>
      </w:r>
      <w:r w:rsidRPr="005601F2">
        <w:rPr>
          <w:rStyle w:val="Strong"/>
          <w:shd w:val="clear" w:color="auto" w:fill="FFFFFF"/>
        </w:rPr>
        <w:t xml:space="preserve"> </w:t>
      </w:r>
      <w:hyperlink r:id="rId21" w:history="1">
        <w:r w:rsidRPr="005601F2">
          <w:rPr>
            <w:rStyle w:val="Hyperlink"/>
            <w:b/>
            <w:bCs/>
            <w:shd w:val="clear" w:color="auto" w:fill="FFFFFF"/>
          </w:rPr>
          <w:t>Nacionalni plan oporavka i otpornosti 2021-2026</w:t>
        </w:r>
      </w:hyperlink>
      <w:r w:rsidRPr="005601F2">
        <w:rPr>
          <w:rStyle w:val="FootnoteReference"/>
          <w:shd w:val="clear" w:color="auto" w:fill="FFFFFF"/>
        </w:rPr>
        <w:footnoteReference w:id="10"/>
      </w:r>
      <w:r w:rsidR="00247D62" w:rsidRPr="005601F2">
        <w:rPr>
          <w:shd w:val="clear" w:color="auto" w:fill="FFFFFF"/>
        </w:rPr>
        <w:t xml:space="preserve">. </w:t>
      </w:r>
      <w:r w:rsidR="00247D62" w:rsidRPr="005601F2">
        <w:rPr>
          <w:b/>
          <w:bCs/>
          <w:shd w:val="clear" w:color="auto" w:fill="FFFFFF"/>
        </w:rPr>
        <w:t>C</w:t>
      </w:r>
      <w:r w:rsidRPr="005601F2">
        <w:rPr>
          <w:b/>
          <w:bCs/>
          <w:shd w:val="clear" w:color="auto" w:fill="FFFFFF"/>
        </w:rPr>
        <w:t>ilj reforme</w:t>
      </w:r>
      <w:r w:rsidR="00847BA5" w:rsidRPr="005601F2">
        <w:rPr>
          <w:b/>
          <w:bCs/>
          <w:shd w:val="clear" w:color="auto" w:fill="FFFFFF"/>
        </w:rPr>
        <w:t xml:space="preserve"> </w:t>
      </w:r>
      <w:r w:rsidR="00247D62" w:rsidRPr="005601F2">
        <w:rPr>
          <w:b/>
          <w:bCs/>
          <w:shd w:val="clear" w:color="auto" w:fill="FFFFFF"/>
        </w:rPr>
        <w:t xml:space="preserve">je </w:t>
      </w:r>
      <w:r w:rsidRPr="005601F2">
        <w:rPr>
          <w:b/>
          <w:bCs/>
        </w:rPr>
        <w:t>pojednostaviti ili ukinuti regulatorn</w:t>
      </w:r>
      <w:r w:rsidR="00A16AB8" w:rsidRPr="005601F2">
        <w:rPr>
          <w:b/>
          <w:bCs/>
        </w:rPr>
        <w:t>e</w:t>
      </w:r>
      <w:r w:rsidRPr="005601F2">
        <w:rPr>
          <w:b/>
          <w:bCs/>
        </w:rPr>
        <w:t xml:space="preserve"> zahtjev</w:t>
      </w:r>
      <w:r w:rsidR="00A16AB8" w:rsidRPr="005601F2">
        <w:rPr>
          <w:b/>
          <w:bCs/>
        </w:rPr>
        <w:t>e</w:t>
      </w:r>
      <w:r w:rsidRPr="005601F2">
        <w:rPr>
          <w:b/>
          <w:bCs/>
        </w:rPr>
        <w:t xml:space="preserve"> privatnom sektoru profesionalnih usluga</w:t>
      </w:r>
      <w:r w:rsidR="00C93764" w:rsidRPr="005601F2">
        <w:t>, tako da ukupan broj provedenih mjera bude barem 300</w:t>
      </w:r>
      <w:r w:rsidR="00847BA5" w:rsidRPr="005601F2">
        <w:t xml:space="preserve"> do kraja 2024</w:t>
      </w:r>
      <w:r w:rsidR="00B21F95" w:rsidRPr="005601F2">
        <w:t xml:space="preserve">. (što je </w:t>
      </w:r>
      <w:r w:rsidR="00247D62" w:rsidRPr="005601F2">
        <w:t xml:space="preserve">pravovremeno </w:t>
      </w:r>
      <w:r w:rsidR="00B21F95" w:rsidRPr="005601F2">
        <w:t>ostvareno</w:t>
      </w:r>
      <w:r w:rsidR="009A40F5" w:rsidRPr="005601F2">
        <w:t>).</w:t>
      </w:r>
    </w:p>
    <w:p w14:paraId="6D9B2A74" w14:textId="77777777" w:rsidR="00993BD0" w:rsidRPr="005601F2" w:rsidRDefault="00993BD0" w:rsidP="00E1705C">
      <w:pPr>
        <w:jc w:val="both"/>
        <w:rPr>
          <w:rFonts w:eastAsia="Calibri"/>
          <w:b/>
          <w:u w:color="434343"/>
          <w:bdr w:val="nil"/>
          <w:lang w:eastAsia="en-GB"/>
        </w:rPr>
      </w:pPr>
    </w:p>
    <w:p w14:paraId="5F715311" w14:textId="624E08D5" w:rsidR="00931D7D" w:rsidRPr="005601F2" w:rsidRDefault="00931D7D" w:rsidP="00E1705C">
      <w:pPr>
        <w:pStyle w:val="Defaul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lang w:val="hr-HR"/>
        </w:rPr>
      </w:pPr>
      <w:r w:rsidRPr="005601F2">
        <w:rPr>
          <w:rFonts w:ascii="Times New Roman" w:hAnsi="Times New Roman" w:cs="Times New Roman"/>
          <w:b/>
          <w:color w:val="auto"/>
          <w:lang w:val="hr-HR"/>
        </w:rPr>
        <w:lastRenderedPageBreak/>
        <w:t>Dosadašnji rezultati reforme i relevantna metodologija mjerenja</w:t>
      </w:r>
    </w:p>
    <w:p w14:paraId="198C96FC" w14:textId="77777777" w:rsidR="00931D7D" w:rsidRPr="005601F2" w:rsidRDefault="00931D7D" w:rsidP="00E1705C">
      <w:pPr>
        <w:pStyle w:val="Default"/>
        <w:spacing w:after="0" w:line="240" w:lineRule="auto"/>
        <w:jc w:val="both"/>
        <w:rPr>
          <w:rFonts w:ascii="Times New Roman" w:hAnsi="Times New Roman" w:cs="Times New Roman"/>
          <w:color w:val="auto"/>
          <w:lang w:val="hr-HR"/>
        </w:rPr>
      </w:pPr>
    </w:p>
    <w:p w14:paraId="718009ED" w14:textId="48957B5B" w:rsidR="00FA2745" w:rsidRPr="005601F2" w:rsidRDefault="00931D7D" w:rsidP="00E1705C">
      <w:pPr>
        <w:pStyle w:val="Default"/>
        <w:spacing w:after="0" w:line="24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hr-HR"/>
        </w:rPr>
      </w:pPr>
      <w:bookmarkStart w:id="3" w:name="_Hlk174446504"/>
      <w:bookmarkStart w:id="4" w:name="_Hlk181963684"/>
      <w:r w:rsidRPr="005601F2">
        <w:rPr>
          <w:rFonts w:ascii="Times New Roman" w:hAnsi="Times New Roman" w:cs="Times New Roman"/>
          <w:bCs/>
          <w:color w:val="auto"/>
          <w:lang w:val="hr-HR"/>
        </w:rPr>
        <w:t xml:space="preserve">Liberalizacija tržišta usluga provedena je na kumulativnoj razini do kraja </w:t>
      </w:r>
      <w:r w:rsidR="009A40F5" w:rsidRPr="005601F2">
        <w:rPr>
          <w:rFonts w:ascii="Times New Roman" w:hAnsi="Times New Roman" w:cs="Times New Roman"/>
          <w:bCs/>
          <w:color w:val="auto"/>
          <w:lang w:val="hr-HR"/>
        </w:rPr>
        <w:t xml:space="preserve">ožujka </w:t>
      </w:r>
      <w:r w:rsidRPr="005601F2">
        <w:rPr>
          <w:rFonts w:ascii="Times New Roman" w:hAnsi="Times New Roman" w:cs="Times New Roman"/>
          <w:bCs/>
          <w:color w:val="auto"/>
          <w:lang w:val="hr-HR"/>
        </w:rPr>
        <w:t>202</w:t>
      </w:r>
      <w:r w:rsidR="00847BA5" w:rsidRPr="005601F2">
        <w:rPr>
          <w:rFonts w:ascii="Times New Roman" w:hAnsi="Times New Roman" w:cs="Times New Roman"/>
          <w:bCs/>
          <w:color w:val="auto"/>
          <w:lang w:val="hr-HR"/>
        </w:rPr>
        <w:t>5</w:t>
      </w:r>
      <w:r w:rsidRPr="005601F2">
        <w:rPr>
          <w:rFonts w:ascii="Times New Roman" w:hAnsi="Times New Roman" w:cs="Times New Roman"/>
          <w:bCs/>
          <w:color w:val="auto"/>
          <w:lang w:val="hr-HR"/>
        </w:rPr>
        <w:t>. godine kroz</w:t>
      </w:r>
      <w:r w:rsidRPr="005601F2">
        <w:rPr>
          <w:rFonts w:ascii="Times New Roman" w:hAnsi="Times New Roman" w:cs="Times New Roman"/>
          <w:b/>
          <w:color w:val="auto"/>
          <w:lang w:val="hr-HR"/>
        </w:rPr>
        <w:t xml:space="preserve"> </w:t>
      </w:r>
      <w:r w:rsidR="00755625" w:rsidRPr="005601F2">
        <w:rPr>
          <w:rFonts w:ascii="Times New Roman" w:hAnsi="Times New Roman" w:cs="Times New Roman"/>
          <w:b/>
          <w:color w:val="auto"/>
          <w:lang w:val="hr-HR"/>
        </w:rPr>
        <w:t>3</w:t>
      </w:r>
      <w:r w:rsidR="00847BA5" w:rsidRPr="005601F2">
        <w:rPr>
          <w:rFonts w:ascii="Times New Roman" w:hAnsi="Times New Roman" w:cs="Times New Roman"/>
          <w:b/>
          <w:color w:val="auto"/>
          <w:lang w:val="hr-HR"/>
        </w:rPr>
        <w:t>1</w:t>
      </w:r>
      <w:r w:rsidR="00755625" w:rsidRPr="005601F2">
        <w:rPr>
          <w:rFonts w:ascii="Times New Roman" w:hAnsi="Times New Roman" w:cs="Times New Roman"/>
          <w:b/>
          <w:color w:val="auto"/>
          <w:lang w:val="hr-HR"/>
        </w:rPr>
        <w:t>0</w:t>
      </w:r>
      <w:r w:rsidRPr="005601F2">
        <w:rPr>
          <w:rFonts w:ascii="Times New Roman" w:hAnsi="Times New Roman" w:cs="Times New Roman"/>
          <w:b/>
          <w:color w:val="auto"/>
          <w:lang w:val="hr-HR"/>
        </w:rPr>
        <w:t xml:space="preserve"> mjera u barem 50 djelatnosti i profesija.</w:t>
      </w:r>
      <w:r w:rsidR="009A40F5" w:rsidRPr="005601F2">
        <w:rPr>
          <w:rFonts w:ascii="Times New Roman" w:hAnsi="Times New Roman" w:cs="Times New Roman"/>
          <w:color w:val="auto"/>
          <w:shd w:val="clear" w:color="auto" w:fill="FFFFFF"/>
          <w:lang w:val="hr-HR"/>
        </w:rPr>
        <w:t xml:space="preserve"> </w:t>
      </w:r>
      <w:r w:rsidRPr="005601F2">
        <w:rPr>
          <w:rStyle w:val="Strong"/>
          <w:rFonts w:ascii="Times New Roman" w:hAnsi="Times New Roman" w:cs="Times New Roman"/>
          <w:b w:val="0"/>
          <w:color w:val="auto"/>
          <w:shd w:val="clear" w:color="auto" w:fill="FFFFFF"/>
          <w:lang w:val="hr-HR"/>
        </w:rPr>
        <w:t xml:space="preserve">Od 2019. godine mjere </w:t>
      </w:r>
      <w:r w:rsidR="00E4233F" w:rsidRPr="005601F2">
        <w:rPr>
          <w:rStyle w:val="Strong"/>
          <w:rFonts w:ascii="Times New Roman" w:hAnsi="Times New Roman" w:cs="Times New Roman"/>
          <w:b w:val="0"/>
          <w:color w:val="auto"/>
          <w:shd w:val="clear" w:color="auto" w:fill="FFFFFF"/>
          <w:lang w:val="hr-HR"/>
        </w:rPr>
        <w:t xml:space="preserve">se </w:t>
      </w:r>
      <w:r w:rsidRPr="005601F2">
        <w:rPr>
          <w:rStyle w:val="Strong"/>
          <w:rFonts w:ascii="Times New Roman" w:hAnsi="Times New Roman" w:cs="Times New Roman"/>
          <w:b w:val="0"/>
          <w:color w:val="auto"/>
          <w:shd w:val="clear" w:color="auto" w:fill="FFFFFF"/>
          <w:lang w:val="hr-HR"/>
        </w:rPr>
        <w:t xml:space="preserve">u ovom području provode kroz </w:t>
      </w:r>
      <w:r w:rsidRPr="005601F2">
        <w:rPr>
          <w:rFonts w:ascii="Times New Roman" w:hAnsi="Times New Roman" w:cs="Times New Roman"/>
          <w:color w:val="auto"/>
          <w:shd w:val="clear" w:color="auto" w:fill="FFFFFF"/>
          <w:lang w:val="hr-HR"/>
        </w:rPr>
        <w:t>akcijske planove</w:t>
      </w:r>
      <w:r w:rsidRPr="005601F2">
        <w:rPr>
          <w:rStyle w:val="Strong"/>
          <w:rFonts w:ascii="Times New Roman" w:hAnsi="Times New Roman" w:cs="Times New Roman"/>
          <w:b w:val="0"/>
          <w:bCs w:val="0"/>
          <w:color w:val="auto"/>
          <w:shd w:val="clear" w:color="auto" w:fill="FFFFFF"/>
          <w:lang w:val="hr-HR"/>
        </w:rPr>
        <w:t xml:space="preserve"> za liberalizaciju tržišta usluga</w:t>
      </w:r>
      <w:r w:rsidR="009A40F5" w:rsidRPr="005601F2">
        <w:rPr>
          <w:rStyle w:val="Strong"/>
          <w:rFonts w:ascii="Times New Roman" w:hAnsi="Times New Roman" w:cs="Times New Roman"/>
          <w:b w:val="0"/>
          <w:bCs w:val="0"/>
          <w:color w:val="auto"/>
          <w:shd w:val="clear" w:color="auto" w:fill="FFFFFF"/>
          <w:lang w:val="hr-HR"/>
        </w:rPr>
        <w:t xml:space="preserve">, uzimajući u obzir i kontekst iz </w:t>
      </w:r>
      <w:r w:rsidRPr="005601F2">
        <w:rPr>
          <w:rStyle w:val="Strong"/>
          <w:rFonts w:ascii="Times New Roman" w:hAnsi="Times New Roman" w:cs="Times New Roman"/>
          <w:b w:val="0"/>
          <w:bCs w:val="0"/>
          <w:color w:val="auto"/>
          <w:shd w:val="clear" w:color="auto" w:fill="FFFFFF"/>
          <w:lang w:val="hr-HR"/>
        </w:rPr>
        <w:t xml:space="preserve">analize </w:t>
      </w:r>
      <w:hyperlink r:id="rId22" w:history="1">
        <w:r w:rsidRPr="005601F2">
          <w:rPr>
            <w:rStyle w:val="Hyperlink"/>
            <w:rFonts w:ascii="Times New Roman" w:hAnsi="Times New Roman" w:cs="Times New Roman"/>
            <w:shd w:val="clear" w:color="auto" w:fill="FFFFFF"/>
            <w:lang w:val="hr-HR"/>
          </w:rPr>
          <w:t>Svjetske banke</w:t>
        </w:r>
      </w:hyperlink>
      <w:r w:rsidRPr="005601F2">
        <w:rPr>
          <w:rStyle w:val="FootnoteReference"/>
          <w:rFonts w:ascii="Times New Roman" w:hAnsi="Times New Roman" w:cs="Times New Roman"/>
          <w:color w:val="auto"/>
          <w:shd w:val="clear" w:color="auto" w:fill="FFFFFF"/>
          <w:lang w:val="hr-HR"/>
        </w:rPr>
        <w:footnoteReference w:id="11"/>
      </w:r>
      <w:r w:rsidR="00F06BB8" w:rsidRPr="005601F2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  <w:lang w:val="hr-HR"/>
        </w:rPr>
        <w:t>.</w:t>
      </w:r>
      <w:r w:rsidRPr="005601F2">
        <w:rPr>
          <w:rStyle w:val="Strong"/>
          <w:rFonts w:ascii="Times New Roman" w:hAnsi="Times New Roman" w:cs="Times New Roman"/>
          <w:b w:val="0"/>
          <w:color w:val="auto"/>
          <w:shd w:val="clear" w:color="auto" w:fill="FFFFFF"/>
          <w:lang w:val="hr-HR"/>
        </w:rPr>
        <w:t xml:space="preserve"> </w:t>
      </w:r>
      <w:r w:rsidR="00F06BB8" w:rsidRPr="005601F2">
        <w:rPr>
          <w:rStyle w:val="Strong"/>
          <w:rFonts w:ascii="Times New Roman" w:hAnsi="Times New Roman" w:cs="Times New Roman"/>
          <w:b w:val="0"/>
          <w:color w:val="auto"/>
          <w:shd w:val="clear" w:color="auto" w:fill="FFFFFF"/>
          <w:lang w:val="hr-HR"/>
        </w:rPr>
        <w:t>Stoga je u</w:t>
      </w:r>
      <w:r w:rsidRPr="005601F2">
        <w:rPr>
          <w:rStyle w:val="Strong"/>
          <w:rFonts w:ascii="Times New Roman" w:hAnsi="Times New Roman" w:cs="Times New Roman"/>
          <w:b w:val="0"/>
          <w:color w:val="auto"/>
          <w:shd w:val="clear" w:color="auto" w:fill="FFFFFF"/>
          <w:lang w:val="hr-HR"/>
        </w:rPr>
        <w:t xml:space="preserve"> okviru naveden</w:t>
      </w:r>
      <w:r w:rsidR="00847BA5" w:rsidRPr="005601F2">
        <w:rPr>
          <w:rStyle w:val="Strong"/>
          <w:rFonts w:ascii="Times New Roman" w:hAnsi="Times New Roman" w:cs="Times New Roman"/>
          <w:b w:val="0"/>
          <w:color w:val="auto"/>
          <w:shd w:val="clear" w:color="auto" w:fill="FFFFFF"/>
          <w:lang w:val="hr-HR"/>
        </w:rPr>
        <w:t>og broja</w:t>
      </w:r>
      <w:r w:rsidRPr="005601F2">
        <w:rPr>
          <w:rStyle w:val="Strong"/>
          <w:rFonts w:ascii="Times New Roman" w:hAnsi="Times New Roman" w:cs="Times New Roman"/>
          <w:b w:val="0"/>
          <w:color w:val="auto"/>
          <w:shd w:val="clear" w:color="auto" w:fill="FFFFFF"/>
          <w:lang w:val="hr-HR"/>
        </w:rPr>
        <w:t xml:space="preserve"> mjera </w:t>
      </w:r>
      <w:r w:rsidRPr="005601F2">
        <w:rPr>
          <w:rFonts w:ascii="Times New Roman" w:hAnsi="Times New Roman" w:cs="Times New Roman"/>
          <w:color w:val="auto"/>
          <w:lang w:val="hr-HR"/>
        </w:rPr>
        <w:t>provedeno</w:t>
      </w:r>
      <w:r w:rsidR="006054E6" w:rsidRPr="005601F2">
        <w:rPr>
          <w:rFonts w:ascii="Times New Roman" w:hAnsi="Times New Roman" w:cs="Times New Roman"/>
          <w:color w:val="auto"/>
          <w:lang w:val="hr-HR"/>
        </w:rPr>
        <w:t xml:space="preserve"> </w:t>
      </w:r>
      <w:r w:rsidRPr="005601F2">
        <w:rPr>
          <w:rFonts w:ascii="Times New Roman" w:hAnsi="Times New Roman" w:cs="Times New Roman"/>
          <w:color w:val="auto"/>
          <w:lang w:val="hr-HR"/>
        </w:rPr>
        <w:t xml:space="preserve">18 od 20 mjera iz </w:t>
      </w:r>
      <w:r w:rsidR="00AE07C9" w:rsidRPr="005601F2">
        <w:rPr>
          <w:rFonts w:ascii="Times New Roman" w:hAnsi="Times New Roman" w:cs="Times New Roman"/>
          <w:color w:val="auto"/>
          <w:lang w:val="hr-HR"/>
        </w:rPr>
        <w:t>P</w:t>
      </w:r>
      <w:r w:rsidRPr="005601F2">
        <w:rPr>
          <w:rFonts w:ascii="Times New Roman" w:hAnsi="Times New Roman" w:cs="Times New Roman"/>
          <w:color w:val="auto"/>
          <w:lang w:val="hr-HR"/>
        </w:rPr>
        <w:t xml:space="preserve">rvog akcijskog plana </w:t>
      </w:r>
      <w:r w:rsidR="00FA2745" w:rsidRPr="005601F2">
        <w:rPr>
          <w:rFonts w:ascii="Times New Roman" w:hAnsi="Times New Roman" w:cs="Times New Roman"/>
          <w:color w:val="auto"/>
          <w:lang w:val="hr-HR"/>
        </w:rPr>
        <w:t>(usvojen</w:t>
      </w:r>
      <w:r w:rsidR="009A40F5" w:rsidRPr="005601F2">
        <w:rPr>
          <w:rFonts w:ascii="Times New Roman" w:hAnsi="Times New Roman" w:cs="Times New Roman"/>
          <w:color w:val="auto"/>
          <w:lang w:val="hr-HR"/>
        </w:rPr>
        <w:t>og</w:t>
      </w:r>
      <w:r w:rsidR="00FA2745" w:rsidRPr="005601F2">
        <w:rPr>
          <w:rFonts w:ascii="Times New Roman" w:hAnsi="Times New Roman" w:cs="Times New Roman"/>
          <w:color w:val="auto"/>
          <w:lang w:val="hr-HR"/>
        </w:rPr>
        <w:t xml:space="preserve"> na Vladi RH 31. listopada 2019.) </w:t>
      </w:r>
      <w:r w:rsidR="00495CE1" w:rsidRPr="005601F2">
        <w:rPr>
          <w:rFonts w:ascii="Times New Roman" w:hAnsi="Times New Roman" w:cs="Times New Roman"/>
          <w:color w:val="auto"/>
          <w:lang w:val="hr-HR"/>
        </w:rPr>
        <w:t xml:space="preserve">te </w:t>
      </w:r>
      <w:r w:rsidRPr="005601F2">
        <w:rPr>
          <w:rFonts w:ascii="Times New Roman" w:hAnsi="Times New Roman" w:cs="Times New Roman"/>
          <w:color w:val="auto"/>
          <w:lang w:val="hr-HR"/>
        </w:rPr>
        <w:t>1</w:t>
      </w:r>
      <w:r w:rsidR="00A16AB8" w:rsidRPr="005601F2">
        <w:rPr>
          <w:rFonts w:ascii="Times New Roman" w:hAnsi="Times New Roman" w:cs="Times New Roman"/>
          <w:color w:val="auto"/>
          <w:lang w:val="hr-HR"/>
        </w:rPr>
        <w:t>7</w:t>
      </w:r>
      <w:r w:rsidRPr="005601F2">
        <w:rPr>
          <w:rFonts w:ascii="Times New Roman" w:hAnsi="Times New Roman" w:cs="Times New Roman"/>
          <w:color w:val="auto"/>
          <w:lang w:val="hr-HR"/>
        </w:rPr>
        <w:t xml:space="preserve"> od 18 mjera iz </w:t>
      </w:r>
      <w:r w:rsidR="00AE07C9" w:rsidRPr="005601F2">
        <w:rPr>
          <w:rFonts w:ascii="Times New Roman" w:hAnsi="Times New Roman" w:cs="Times New Roman"/>
          <w:color w:val="auto"/>
          <w:lang w:val="hr-HR"/>
        </w:rPr>
        <w:t>D</w:t>
      </w:r>
      <w:r w:rsidRPr="005601F2">
        <w:rPr>
          <w:rFonts w:ascii="Times New Roman" w:hAnsi="Times New Roman" w:cs="Times New Roman"/>
          <w:color w:val="auto"/>
          <w:lang w:val="hr-HR"/>
        </w:rPr>
        <w:t>rugog akcijskog plana</w:t>
      </w:r>
      <w:r w:rsidR="00FA2745" w:rsidRPr="005601F2">
        <w:rPr>
          <w:rFonts w:ascii="Times New Roman" w:hAnsi="Times New Roman" w:cs="Times New Roman"/>
          <w:color w:val="auto"/>
          <w:lang w:val="hr-HR"/>
        </w:rPr>
        <w:t xml:space="preserve"> (usvojen</w:t>
      </w:r>
      <w:r w:rsidR="009A40F5" w:rsidRPr="005601F2">
        <w:rPr>
          <w:rFonts w:ascii="Times New Roman" w:hAnsi="Times New Roman" w:cs="Times New Roman"/>
          <w:color w:val="auto"/>
          <w:lang w:val="hr-HR"/>
        </w:rPr>
        <w:t>og</w:t>
      </w:r>
      <w:r w:rsidR="00FA2745" w:rsidRPr="005601F2">
        <w:rPr>
          <w:rFonts w:ascii="Times New Roman" w:hAnsi="Times New Roman" w:cs="Times New Roman"/>
          <w:color w:val="auto"/>
          <w:lang w:val="hr-HR"/>
        </w:rPr>
        <w:t xml:space="preserve"> na Vladi RH 29. travnja 2020).</w:t>
      </w:r>
      <w:r w:rsidR="000D5607" w:rsidRPr="005601F2">
        <w:rPr>
          <w:rFonts w:ascii="Times New Roman" w:hAnsi="Times New Roman" w:cs="Times New Roman"/>
          <w:color w:val="auto"/>
          <w:lang w:val="hr-HR"/>
        </w:rPr>
        <w:t xml:space="preserve"> Dvije preostale mjere iz Prvog akcijskog plana</w:t>
      </w:r>
      <w:r w:rsidR="00410823" w:rsidRPr="005601F2">
        <w:rPr>
          <w:rFonts w:ascii="Times New Roman" w:hAnsi="Times New Roman" w:cs="Times New Roman"/>
          <w:color w:val="auto"/>
          <w:lang w:val="hr-HR"/>
        </w:rPr>
        <w:t>, vezane uz turističke vodiče,</w:t>
      </w:r>
      <w:r w:rsidR="000D5607" w:rsidRPr="005601F2">
        <w:rPr>
          <w:rFonts w:ascii="Times New Roman" w:hAnsi="Times New Roman" w:cs="Times New Roman"/>
          <w:color w:val="auto"/>
          <w:lang w:val="hr-HR"/>
        </w:rPr>
        <w:t xml:space="preserve"> </w:t>
      </w:r>
      <w:r w:rsidR="009152A3" w:rsidRPr="005601F2">
        <w:rPr>
          <w:rFonts w:ascii="Times New Roman" w:hAnsi="Times New Roman" w:cs="Times New Roman"/>
          <w:color w:val="auto"/>
          <w:lang w:val="hr-HR"/>
        </w:rPr>
        <w:t>u provedb</w:t>
      </w:r>
      <w:r w:rsidR="00410823" w:rsidRPr="005601F2">
        <w:rPr>
          <w:rFonts w:ascii="Times New Roman" w:hAnsi="Times New Roman" w:cs="Times New Roman"/>
          <w:color w:val="auto"/>
          <w:lang w:val="hr-HR"/>
        </w:rPr>
        <w:t>i su</w:t>
      </w:r>
      <w:r w:rsidR="009152A3" w:rsidRPr="005601F2">
        <w:rPr>
          <w:rFonts w:ascii="Times New Roman" w:hAnsi="Times New Roman" w:cs="Times New Roman"/>
          <w:color w:val="auto"/>
          <w:lang w:val="hr-HR"/>
        </w:rPr>
        <w:t xml:space="preserve"> </w:t>
      </w:r>
      <w:r w:rsidR="000D5607" w:rsidRPr="005601F2">
        <w:rPr>
          <w:rFonts w:ascii="Times New Roman" w:hAnsi="Times New Roman" w:cs="Times New Roman"/>
          <w:color w:val="auto"/>
          <w:lang w:val="hr-HR"/>
        </w:rPr>
        <w:t>2025.</w:t>
      </w:r>
    </w:p>
    <w:bookmarkEnd w:id="3"/>
    <w:p w14:paraId="23BA3F13" w14:textId="77777777" w:rsidR="00FD5890" w:rsidRPr="005601F2" w:rsidRDefault="00FD5890" w:rsidP="00E1705C">
      <w:pPr>
        <w:jc w:val="both"/>
        <w:rPr>
          <w:shd w:val="clear" w:color="auto" w:fill="FFFFFF"/>
        </w:rPr>
      </w:pPr>
    </w:p>
    <w:p w14:paraId="7CDFEF09" w14:textId="5D6C6839" w:rsidR="00931D7D" w:rsidRPr="005601F2" w:rsidRDefault="00931D7D" w:rsidP="00E1705C">
      <w:pPr>
        <w:jc w:val="both"/>
        <w:rPr>
          <w:bCs/>
        </w:rPr>
      </w:pPr>
      <w:r w:rsidRPr="005601F2">
        <w:rPr>
          <w:shd w:val="clear" w:color="auto" w:fill="FFFFFF"/>
        </w:rPr>
        <w:t xml:space="preserve">Prema OECD-ovoj metodologiji </w:t>
      </w:r>
      <w:hyperlink r:id="rId23" w:history="1">
        <w:r w:rsidRPr="005601F2">
          <w:rPr>
            <w:rStyle w:val="Hyperlink"/>
            <w:i/>
            <w:shd w:val="clear" w:color="auto" w:fill="FFFFFF"/>
          </w:rPr>
          <w:t>Product Market Regulation</w:t>
        </w:r>
      </w:hyperlink>
      <w:r w:rsidRPr="005601F2">
        <w:rPr>
          <w:i/>
          <w:shd w:val="clear" w:color="auto" w:fill="FFFFFF"/>
        </w:rPr>
        <w:t xml:space="preserve"> </w:t>
      </w:r>
      <w:r w:rsidR="009C63D1" w:rsidRPr="005601F2">
        <w:rPr>
          <w:i/>
          <w:shd w:val="clear" w:color="auto" w:fill="FFFFFF"/>
        </w:rPr>
        <w:t>– PMR</w:t>
      </w:r>
      <w:r w:rsidR="009C63D1" w:rsidRPr="005601F2">
        <w:rPr>
          <w:rStyle w:val="FootnoteReference"/>
          <w:i/>
          <w:shd w:val="clear" w:color="auto" w:fill="FFFFFF"/>
        </w:rPr>
        <w:footnoteReference w:id="12"/>
      </w:r>
      <w:r w:rsidR="009C63D1" w:rsidRPr="005601F2">
        <w:rPr>
          <w:i/>
          <w:shd w:val="clear" w:color="auto" w:fill="FFFFFF"/>
        </w:rPr>
        <w:t xml:space="preserve">, </w:t>
      </w:r>
      <w:r w:rsidRPr="005601F2">
        <w:rPr>
          <w:shd w:val="clear" w:color="auto" w:fill="FFFFFF"/>
        </w:rPr>
        <w:t xml:space="preserve">ukupna reguliranost hrvatskog tržišta usluga snižena </w:t>
      </w:r>
      <w:r w:rsidR="009A40F5" w:rsidRPr="005601F2">
        <w:rPr>
          <w:shd w:val="clear" w:color="auto" w:fill="FFFFFF"/>
        </w:rPr>
        <w:t xml:space="preserve">je </w:t>
      </w:r>
      <w:r w:rsidR="009C63D1" w:rsidRPr="005601F2">
        <w:rPr>
          <w:shd w:val="clear" w:color="auto" w:fill="FFFFFF"/>
        </w:rPr>
        <w:t>s najviše razine (PMR 2013) na okvirno</w:t>
      </w:r>
      <w:r w:rsidRPr="005601F2">
        <w:rPr>
          <w:shd w:val="clear" w:color="auto" w:fill="FFFFFF"/>
        </w:rPr>
        <w:t xml:space="preserve"> prosječnu razinu OECD-a</w:t>
      </w:r>
      <w:r w:rsidR="009C63D1" w:rsidRPr="005601F2">
        <w:rPr>
          <w:shd w:val="clear" w:color="auto" w:fill="FFFFFF"/>
        </w:rPr>
        <w:t xml:space="preserve"> (PMR 2018 i PMR 2023)</w:t>
      </w:r>
      <w:r w:rsidRPr="005601F2">
        <w:rPr>
          <w:shd w:val="clear" w:color="auto" w:fill="FFFFFF"/>
        </w:rPr>
        <w:t>.</w:t>
      </w:r>
      <w:r w:rsidR="00495CE1" w:rsidRPr="005601F2">
        <w:rPr>
          <w:shd w:val="clear" w:color="auto" w:fill="FFFFFF"/>
        </w:rPr>
        <w:t xml:space="preserve"> </w:t>
      </w:r>
      <w:r w:rsidR="009C63D1" w:rsidRPr="005601F2">
        <w:rPr>
          <w:bCs/>
        </w:rPr>
        <w:t xml:space="preserve">Pritom su glavne </w:t>
      </w:r>
      <w:r w:rsidR="001D7B10" w:rsidRPr="005601F2">
        <w:rPr>
          <w:bCs/>
        </w:rPr>
        <w:t xml:space="preserve">tržišne </w:t>
      </w:r>
      <w:r w:rsidR="009C63D1" w:rsidRPr="005601F2">
        <w:rPr>
          <w:bCs/>
        </w:rPr>
        <w:t>profesionalne usluge</w:t>
      </w:r>
      <w:r w:rsidR="009C63D1" w:rsidRPr="005601F2">
        <w:rPr>
          <w:b/>
        </w:rPr>
        <w:t xml:space="preserve"> </w:t>
      </w:r>
      <w:r w:rsidR="009C63D1" w:rsidRPr="005601F2">
        <w:rPr>
          <w:bCs/>
        </w:rPr>
        <w:t xml:space="preserve">(računovođe, arhitekti, inženjeri, agenti za nekretnine i odvjetnici) </w:t>
      </w:r>
      <w:r w:rsidR="001D7B10" w:rsidRPr="005601F2">
        <w:rPr>
          <w:bCs/>
        </w:rPr>
        <w:t xml:space="preserve">u prosjeku </w:t>
      </w:r>
      <w:r w:rsidR="009C63D1" w:rsidRPr="005601F2">
        <w:rPr>
          <w:bCs/>
        </w:rPr>
        <w:t>niže</w:t>
      </w:r>
      <w:r w:rsidR="001D7B10" w:rsidRPr="005601F2">
        <w:rPr>
          <w:bCs/>
        </w:rPr>
        <w:t xml:space="preserve"> regulirane</w:t>
      </w:r>
      <w:r w:rsidR="009C63D1" w:rsidRPr="005601F2">
        <w:rPr>
          <w:bCs/>
        </w:rPr>
        <w:t xml:space="preserve"> od prosjeka EU-a i OECD-a te su unutar deset država članica EU-a po razini dereguliranosti. Navedenom rezultatu doprinose odsutnost licenciranja računovođa te smanjena reguliranost inženjera, arhitekata i agenata za nekretnine. S druge strane, visoka je reguliranost ljekarni (najviša unutar EU-a i dvostruko iznad prosjeka OECD-a). </w:t>
      </w:r>
      <w:r w:rsidR="00E4233F" w:rsidRPr="005601F2">
        <w:rPr>
          <w:bCs/>
        </w:rPr>
        <w:t>T</w:t>
      </w:r>
      <w:r w:rsidR="009C63D1" w:rsidRPr="005601F2">
        <w:rPr>
          <w:bCs/>
        </w:rPr>
        <w:t xml:space="preserve">akođer, reguliranost </w:t>
      </w:r>
      <w:r w:rsidR="00247D62" w:rsidRPr="005601F2">
        <w:rPr>
          <w:bCs/>
        </w:rPr>
        <w:t xml:space="preserve">odvjetnika i bilježnika </w:t>
      </w:r>
      <w:r w:rsidR="009C63D1" w:rsidRPr="005601F2">
        <w:rPr>
          <w:bCs/>
        </w:rPr>
        <w:t xml:space="preserve">ne odstupa od kontinentalnih </w:t>
      </w:r>
      <w:r w:rsidR="00B56C25" w:rsidRPr="005601F2">
        <w:rPr>
          <w:bCs/>
        </w:rPr>
        <w:t xml:space="preserve">europskih </w:t>
      </w:r>
      <w:r w:rsidR="009C63D1" w:rsidRPr="005601F2">
        <w:rPr>
          <w:bCs/>
        </w:rPr>
        <w:t>zemalja.</w:t>
      </w:r>
    </w:p>
    <w:bookmarkEnd w:id="4"/>
    <w:p w14:paraId="633FD713" w14:textId="77777777" w:rsidR="00AD5DEE" w:rsidRPr="005601F2" w:rsidRDefault="00AD5DEE" w:rsidP="00E1705C">
      <w:pPr>
        <w:jc w:val="both"/>
      </w:pPr>
    </w:p>
    <w:p w14:paraId="75103352" w14:textId="0471D87A" w:rsidR="00AB4071" w:rsidRPr="005601F2" w:rsidRDefault="00AB4071" w:rsidP="00E170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601F2">
        <w:rPr>
          <w:rFonts w:ascii="Times New Roman" w:hAnsi="Times New Roman"/>
          <w:b/>
          <w:bCs/>
          <w:sz w:val="24"/>
          <w:szCs w:val="24"/>
        </w:rPr>
        <w:t>Popis provedenih mjera</w:t>
      </w:r>
      <w:r w:rsidR="00BE660A" w:rsidRPr="005601F2">
        <w:rPr>
          <w:rFonts w:ascii="Times New Roman" w:hAnsi="Times New Roman"/>
          <w:b/>
          <w:bCs/>
          <w:sz w:val="24"/>
          <w:szCs w:val="24"/>
        </w:rPr>
        <w:t xml:space="preserve"> za profesionalne usluge</w:t>
      </w:r>
    </w:p>
    <w:p w14:paraId="6CA508CF" w14:textId="77777777" w:rsidR="00494571" w:rsidRPr="005601F2" w:rsidRDefault="00494571" w:rsidP="00E1705C">
      <w:pPr>
        <w:jc w:val="both"/>
      </w:pPr>
    </w:p>
    <w:p w14:paraId="52529AAB" w14:textId="12CC697A" w:rsidR="00AB4071" w:rsidRPr="005601F2" w:rsidRDefault="00BE660A" w:rsidP="00E1705C">
      <w:pPr>
        <w:jc w:val="both"/>
      </w:pPr>
      <w:bookmarkStart w:id="5" w:name="_Hlk182988959"/>
      <w:bookmarkStart w:id="6" w:name="_Hlk181963425"/>
      <w:r w:rsidRPr="005601F2">
        <w:t xml:space="preserve">U okviru </w:t>
      </w:r>
      <w:r w:rsidR="00755625" w:rsidRPr="005601F2">
        <w:t>3</w:t>
      </w:r>
      <w:r w:rsidR="00094F61" w:rsidRPr="005601F2">
        <w:t>1</w:t>
      </w:r>
      <w:r w:rsidR="00755625" w:rsidRPr="005601F2">
        <w:t xml:space="preserve">0 kumulativno provedenih </w:t>
      </w:r>
      <w:r w:rsidR="00B21F95" w:rsidRPr="005601F2">
        <w:t xml:space="preserve">mjera, </w:t>
      </w:r>
      <w:r w:rsidR="00AB4071" w:rsidRPr="005601F2">
        <w:t xml:space="preserve">od </w:t>
      </w:r>
      <w:r w:rsidR="00D06274" w:rsidRPr="005601F2">
        <w:t xml:space="preserve">2019. </w:t>
      </w:r>
      <w:r w:rsidR="00B21F95" w:rsidRPr="005601F2">
        <w:t>provedeno je 79 mjera za profesionalne usluge</w:t>
      </w:r>
      <w:r w:rsidR="00755625" w:rsidRPr="005601F2">
        <w:t>.</w:t>
      </w:r>
    </w:p>
    <w:p w14:paraId="4E6A9D74" w14:textId="77777777" w:rsidR="00F24760" w:rsidRPr="005601F2" w:rsidRDefault="00F24760" w:rsidP="00E1705C">
      <w:pPr>
        <w:jc w:val="both"/>
      </w:pPr>
    </w:p>
    <w:p w14:paraId="3585CD52" w14:textId="35732CD6" w:rsidR="00AB4071" w:rsidRPr="005601F2" w:rsidRDefault="00AB4071" w:rsidP="00E1705C">
      <w:pPr>
        <w:jc w:val="both"/>
        <w:rPr>
          <w:b/>
          <w:bCs/>
        </w:rPr>
      </w:pPr>
      <w:r w:rsidRPr="005601F2">
        <w:rPr>
          <w:b/>
          <w:bCs/>
        </w:rPr>
        <w:t xml:space="preserve">I. </w:t>
      </w:r>
      <w:r w:rsidR="00BE660A" w:rsidRPr="005601F2">
        <w:rPr>
          <w:b/>
          <w:bCs/>
        </w:rPr>
        <w:t>P</w:t>
      </w:r>
      <w:r w:rsidRPr="005601F2">
        <w:rPr>
          <w:b/>
          <w:bCs/>
        </w:rPr>
        <w:t>rovedeno tijekom pripreme nacrta Trećeg akcijskog plana</w:t>
      </w:r>
      <w:r w:rsidR="001C3171" w:rsidRPr="005601F2">
        <w:rPr>
          <w:b/>
          <w:bCs/>
        </w:rPr>
        <w:t xml:space="preserve"> </w:t>
      </w:r>
      <w:r w:rsidR="001C3171" w:rsidRPr="005601F2">
        <w:t>(2</w:t>
      </w:r>
      <w:r w:rsidR="00094F61" w:rsidRPr="005601F2">
        <w:t>8</w:t>
      </w:r>
      <w:r w:rsidR="001C3171" w:rsidRPr="005601F2">
        <w:t xml:space="preserve"> mjer</w:t>
      </w:r>
      <w:r w:rsidR="00B21F95" w:rsidRPr="005601F2">
        <w:t>a</w:t>
      </w:r>
      <w:r w:rsidR="002337B8" w:rsidRPr="005601F2">
        <w:t>)</w:t>
      </w:r>
    </w:p>
    <w:p w14:paraId="6922955C" w14:textId="77777777" w:rsidR="00AB4071" w:rsidRPr="005601F2" w:rsidRDefault="00AB4071" w:rsidP="00E1705C">
      <w:pPr>
        <w:jc w:val="both"/>
      </w:pPr>
    </w:p>
    <w:p w14:paraId="6EC8CAB4" w14:textId="77777777" w:rsidR="00AB4071" w:rsidRPr="005601F2" w:rsidRDefault="00AB4071" w:rsidP="00E1705C">
      <w:pPr>
        <w:jc w:val="both"/>
        <w:rPr>
          <w:b/>
          <w:bCs/>
        </w:rPr>
      </w:pPr>
      <w:r w:rsidRPr="005601F2">
        <w:rPr>
          <w:b/>
          <w:bCs/>
        </w:rPr>
        <w:t>Porezni savjetnici</w:t>
      </w:r>
    </w:p>
    <w:p w14:paraId="281544E4" w14:textId="4CBCE4D4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lastRenderedPageBreak/>
        <w:t xml:space="preserve">Omogućeno je </w:t>
      </w:r>
      <w:r w:rsidR="0014575E" w:rsidRPr="005601F2">
        <w:rPr>
          <w:rFonts w:ascii="Times New Roman" w:hAnsi="Times New Roman"/>
          <w:sz w:val="24"/>
          <w:szCs w:val="24"/>
        </w:rPr>
        <w:t xml:space="preserve">slobodno </w:t>
      </w:r>
      <w:r w:rsidRPr="005601F2">
        <w:rPr>
          <w:rFonts w:ascii="Times New Roman" w:hAnsi="Times New Roman"/>
          <w:sz w:val="24"/>
          <w:szCs w:val="24"/>
        </w:rPr>
        <w:t>prekogranično pružanje usluga fizičkim i pravnim osobama s prebivalištem u zemljama OECD-a.</w:t>
      </w:r>
    </w:p>
    <w:p w14:paraId="5300AF13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 je uvjet prema kojem 51% vlasničkog udjela ili članstva moraju imati porezni savjetnici u tvrtki za porezno savjetovanje.</w:t>
      </w:r>
    </w:p>
    <w:p w14:paraId="5C495A58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Svaka fizička i pravna osoba može imati puni opseg osnivačkih prava u društvu za porezno savjetovanje (s najmanje jednim ovlaštenim poreznim savjetnikom), umjesto da osnivači budu samo porezni savjetnici.</w:t>
      </w:r>
    </w:p>
    <w:p w14:paraId="051BD822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Samostalnim poreznim savjetnicima ukinuta je zabrana zapošljavanja kod druge fizičke ili pravne osobe.</w:t>
      </w:r>
    </w:p>
    <w:p w14:paraId="183F54FD" w14:textId="29127088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Omogućeno je sudjelovanje poreznih savjetnika u upravnim stvarima pred upravnim sudovima, umjesto samo sudjelovanja u poreznim sporovima.</w:t>
      </w:r>
    </w:p>
    <w:p w14:paraId="50AC3012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Ukinuto je zakonsko pravo Komore da propisuje naknade za usluge poreznog savjetovanja.</w:t>
      </w:r>
    </w:p>
    <w:p w14:paraId="78BD0B49" w14:textId="77777777" w:rsidR="00AB4071" w:rsidRPr="005601F2" w:rsidRDefault="00AB4071" w:rsidP="00E1705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66ED2E" w14:textId="77777777" w:rsidR="00AB4071" w:rsidRPr="005601F2" w:rsidRDefault="00AB4071" w:rsidP="00E1705C">
      <w:pPr>
        <w:jc w:val="both"/>
        <w:rPr>
          <w:b/>
          <w:bCs/>
        </w:rPr>
      </w:pPr>
      <w:r w:rsidRPr="005601F2">
        <w:rPr>
          <w:b/>
          <w:bCs/>
        </w:rPr>
        <w:t>Revizori</w:t>
      </w:r>
    </w:p>
    <w:p w14:paraId="12A5A25B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Uvjet udjela ovlaštenih revizora kao članova uprave revizorskog društva smanjen je sa 75% na 51%.</w:t>
      </w:r>
    </w:p>
    <w:p w14:paraId="775229B6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Obvezno radno iskustvo prije dobivanja odobrenja za rad revizora smanjeno je s 5 na 4 godine.</w:t>
      </w:r>
    </w:p>
    <w:p w14:paraId="26173536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 je dobni uvjet od 3 mjeseca za potvrdu tijela matične države o odobrenju za rad revizora.</w:t>
      </w:r>
    </w:p>
    <w:p w14:paraId="63612977" w14:textId="77777777" w:rsidR="00AB4071" w:rsidRPr="005601F2" w:rsidRDefault="00AB4071" w:rsidP="00E1705C">
      <w:pPr>
        <w:jc w:val="both"/>
        <w:rPr>
          <w:b/>
          <w:bCs/>
        </w:rPr>
      </w:pPr>
    </w:p>
    <w:p w14:paraId="218093B2" w14:textId="77777777" w:rsidR="00AB4071" w:rsidRPr="005601F2" w:rsidRDefault="00AB4071" w:rsidP="00E1705C">
      <w:pPr>
        <w:jc w:val="both"/>
        <w:rPr>
          <w:b/>
          <w:bCs/>
        </w:rPr>
      </w:pPr>
      <w:r w:rsidRPr="005601F2">
        <w:rPr>
          <w:b/>
          <w:bCs/>
        </w:rPr>
        <w:t>Privatni detektivi</w:t>
      </w:r>
    </w:p>
    <w:p w14:paraId="5CAEE8DB" w14:textId="01773D58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Ukinute su određene obveze glede posebnih prostorno-tehničkih uvjeta poslovnog prostora za privatne detektive tako da više nisu potrebn</w:t>
      </w:r>
      <w:r w:rsidR="00D927CC" w:rsidRPr="005601F2">
        <w:rPr>
          <w:rFonts w:ascii="Times New Roman" w:hAnsi="Times New Roman"/>
          <w:sz w:val="24"/>
          <w:szCs w:val="24"/>
        </w:rPr>
        <w:t>e</w:t>
      </w:r>
      <w:r w:rsidRPr="005601F2">
        <w:rPr>
          <w:rFonts w:ascii="Times New Roman" w:hAnsi="Times New Roman"/>
          <w:sz w:val="24"/>
          <w:szCs w:val="24"/>
        </w:rPr>
        <w:t xml:space="preserve"> čekaonic</w:t>
      </w:r>
      <w:r w:rsidR="00D927CC" w:rsidRPr="005601F2">
        <w:rPr>
          <w:rFonts w:ascii="Times New Roman" w:hAnsi="Times New Roman"/>
          <w:sz w:val="24"/>
          <w:szCs w:val="24"/>
        </w:rPr>
        <w:t>e</w:t>
      </w:r>
      <w:r w:rsidRPr="005601F2">
        <w:rPr>
          <w:rFonts w:ascii="Times New Roman" w:hAnsi="Times New Roman"/>
          <w:sz w:val="24"/>
          <w:szCs w:val="24"/>
        </w:rPr>
        <w:t>, veličina prostora (min. 30 m2) i telefaks.</w:t>
      </w:r>
    </w:p>
    <w:p w14:paraId="6B46FE3C" w14:textId="77777777" w:rsidR="00094F61" w:rsidRPr="005601F2" w:rsidRDefault="00094F61" w:rsidP="00E1705C">
      <w:pPr>
        <w:jc w:val="both"/>
      </w:pPr>
    </w:p>
    <w:p w14:paraId="7EAAED0C" w14:textId="29C2BD34" w:rsidR="00094F61" w:rsidRPr="005601F2" w:rsidRDefault="00094F61" w:rsidP="00E1705C">
      <w:pPr>
        <w:jc w:val="both"/>
        <w:rPr>
          <w:b/>
          <w:bCs/>
        </w:rPr>
      </w:pPr>
      <w:r w:rsidRPr="005601F2">
        <w:rPr>
          <w:b/>
          <w:bCs/>
        </w:rPr>
        <w:t>Patentni zastupnici</w:t>
      </w:r>
    </w:p>
    <w:p w14:paraId="3AE20BEC" w14:textId="77777777" w:rsidR="00094F61" w:rsidRPr="005601F2" w:rsidRDefault="00094F6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Omogućeno je prekogranično priznavanje kvalifikacija za patentne zastupnike i zastupnike za žigove.</w:t>
      </w:r>
    </w:p>
    <w:p w14:paraId="1CD372C1" w14:textId="2BA2BBA7" w:rsidR="00094F61" w:rsidRPr="005601F2" w:rsidRDefault="00094F6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lastRenderedPageBreak/>
        <w:t>Omogućeno je privremeno i povremeno pružanje usluga patentnih zastupnika i zastupnika za žigove</w:t>
      </w:r>
      <w:r w:rsidR="000B7469" w:rsidRPr="005601F2">
        <w:rPr>
          <w:rFonts w:ascii="Times New Roman" w:hAnsi="Times New Roman"/>
          <w:sz w:val="24"/>
          <w:szCs w:val="24"/>
        </w:rPr>
        <w:t xml:space="preserve"> iz EU/EGP</w:t>
      </w:r>
      <w:r w:rsidRPr="005601F2">
        <w:rPr>
          <w:rFonts w:ascii="Times New Roman" w:hAnsi="Times New Roman"/>
          <w:sz w:val="24"/>
          <w:szCs w:val="24"/>
        </w:rPr>
        <w:t>, bez obvezne registracije nastana.</w:t>
      </w:r>
    </w:p>
    <w:p w14:paraId="373C5BF6" w14:textId="6B89B436" w:rsidR="00094F61" w:rsidRPr="005601F2" w:rsidRDefault="00094F61" w:rsidP="00F41A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Otvorena je mogućnost pružanja usluga patentnih zastupnika i zastupnika za žigove iz OECD-ovog Kodeksa o liberalizaciji kretanja kapitala i kodeksa o liberalizaciji nevidljivih transakcija.</w:t>
      </w:r>
    </w:p>
    <w:p w14:paraId="3D28078E" w14:textId="77777777" w:rsidR="00AB4071" w:rsidRPr="005601F2" w:rsidRDefault="00AB4071" w:rsidP="00E1705C">
      <w:pPr>
        <w:jc w:val="both"/>
      </w:pPr>
    </w:p>
    <w:p w14:paraId="43B69EF0" w14:textId="77777777" w:rsidR="00AB4071" w:rsidRPr="005601F2" w:rsidRDefault="00AB4071" w:rsidP="00E1705C">
      <w:pPr>
        <w:jc w:val="both"/>
        <w:rPr>
          <w:b/>
          <w:bCs/>
        </w:rPr>
      </w:pPr>
      <w:r w:rsidRPr="005601F2">
        <w:rPr>
          <w:b/>
          <w:bCs/>
        </w:rPr>
        <w:t>Energetski certifikatori</w:t>
      </w:r>
    </w:p>
    <w:p w14:paraId="13D27C33" w14:textId="77777777" w:rsidR="00094F6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_Hlk177979009"/>
      <w:r w:rsidRPr="005601F2">
        <w:rPr>
          <w:rFonts w:ascii="Times New Roman" w:hAnsi="Times New Roman"/>
          <w:sz w:val="24"/>
          <w:szCs w:val="24"/>
        </w:rPr>
        <w:t>Implementirana je provjera vjerodostojnosti dokumenata energetskih certifikata putem QR koda</w:t>
      </w:r>
      <w:bookmarkEnd w:id="7"/>
      <w:r w:rsidRPr="005601F2">
        <w:rPr>
          <w:rFonts w:ascii="Times New Roman" w:hAnsi="Times New Roman"/>
          <w:sz w:val="24"/>
          <w:szCs w:val="24"/>
        </w:rPr>
        <w:t>.</w:t>
      </w:r>
    </w:p>
    <w:p w14:paraId="19F88812" w14:textId="77777777" w:rsidR="00094F61" w:rsidRPr="005601F2" w:rsidRDefault="00094F6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noProof/>
          <w:sz w:val="24"/>
          <w:szCs w:val="24"/>
        </w:rPr>
        <w:t>Ukinuta je obveza poznavanja hrvatskog jezika razine B2 za energetske certifikatore koji pružaju usluge na privremenoj i povremenoj osnovi.</w:t>
      </w:r>
    </w:p>
    <w:p w14:paraId="765B2668" w14:textId="77777777" w:rsidR="00094F61" w:rsidRPr="005601F2" w:rsidRDefault="00094F6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noProof/>
          <w:sz w:val="24"/>
          <w:szCs w:val="24"/>
        </w:rPr>
        <w:t>Ukinuto je izdavanje ovlaštenja za energetsko certificiranje pravnim osobama.</w:t>
      </w:r>
    </w:p>
    <w:p w14:paraId="229AF0DC" w14:textId="5EB58FD1" w:rsidR="00094F61" w:rsidRPr="005601F2" w:rsidRDefault="00094F61" w:rsidP="00F41A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noProof/>
          <w:sz w:val="24"/>
          <w:szCs w:val="24"/>
        </w:rPr>
        <w:t>Omogućeno je elektroničko podnošenje zahtjeva za dobivanje ovlaštenja za energetsko certificiranje.</w:t>
      </w:r>
    </w:p>
    <w:p w14:paraId="1A5EF324" w14:textId="77777777" w:rsidR="00AB4071" w:rsidRPr="005601F2" w:rsidRDefault="00AB4071" w:rsidP="00E1705C">
      <w:pPr>
        <w:jc w:val="both"/>
      </w:pPr>
    </w:p>
    <w:p w14:paraId="47A25D3B" w14:textId="77777777" w:rsidR="00AB4071" w:rsidRPr="005601F2" w:rsidRDefault="00AB4071" w:rsidP="00E1705C">
      <w:pPr>
        <w:jc w:val="both"/>
        <w:rPr>
          <w:b/>
          <w:bCs/>
        </w:rPr>
      </w:pPr>
      <w:r w:rsidRPr="005601F2">
        <w:rPr>
          <w:b/>
          <w:bCs/>
        </w:rPr>
        <w:t>Odvjetnici</w:t>
      </w:r>
    </w:p>
    <w:p w14:paraId="3ADF8044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Ukinuta je naknada od 5000 eura za upis u Hrvatsku odvjetničku komoru pri ponovnom ulasku u odvjetništvo.</w:t>
      </w:r>
    </w:p>
    <w:p w14:paraId="1ACC5317" w14:textId="77777777" w:rsidR="00AB4071" w:rsidRPr="005601F2" w:rsidRDefault="00AB4071" w:rsidP="00E1705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9C5F31" w14:textId="77777777" w:rsidR="00AB4071" w:rsidRPr="005601F2" w:rsidRDefault="00AB4071" w:rsidP="00E1705C">
      <w:pPr>
        <w:jc w:val="both"/>
        <w:rPr>
          <w:b/>
          <w:bCs/>
        </w:rPr>
      </w:pPr>
      <w:r w:rsidRPr="005601F2">
        <w:rPr>
          <w:b/>
          <w:bCs/>
        </w:rPr>
        <w:t>Arhitekti</w:t>
      </w:r>
    </w:p>
    <w:p w14:paraId="28FC995E" w14:textId="560E91E1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_Hlk164679460"/>
      <w:r w:rsidRPr="005601F2">
        <w:rPr>
          <w:rFonts w:ascii="Times New Roman" w:hAnsi="Times New Roman"/>
          <w:sz w:val="24"/>
          <w:szCs w:val="24"/>
        </w:rPr>
        <w:t>Snižene su naknade za izdavanje potvrde za privremeno i povremeno obavljanje usluga arhitekata iz zemalja EU/</w:t>
      </w:r>
      <w:r w:rsidR="000B7469" w:rsidRPr="005601F2">
        <w:rPr>
          <w:rFonts w:ascii="Times New Roman" w:hAnsi="Times New Roman"/>
          <w:sz w:val="24"/>
          <w:szCs w:val="24"/>
        </w:rPr>
        <w:t>EGP</w:t>
      </w:r>
      <w:bookmarkEnd w:id="8"/>
      <w:r w:rsidR="00662268" w:rsidRPr="005601F2">
        <w:rPr>
          <w:rFonts w:ascii="Times New Roman" w:hAnsi="Times New Roman"/>
          <w:sz w:val="24"/>
          <w:szCs w:val="24"/>
        </w:rPr>
        <w:t xml:space="preserve"> s 250 na 200 eura.</w:t>
      </w:r>
    </w:p>
    <w:p w14:paraId="7D947852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5601F2">
        <w:rPr>
          <w:rFonts w:ascii="Times New Roman" w:hAnsi="Times New Roman"/>
          <w:bCs/>
          <w:sz w:val="24"/>
          <w:szCs w:val="24"/>
          <w:shd w:val="clear" w:color="auto" w:fill="FFFFFF"/>
        </w:rPr>
        <w:t>Naknada za priznavanje stručne spreme arhitekata unificirana je i smanjena s 800 na 400 eura.</w:t>
      </w:r>
    </w:p>
    <w:p w14:paraId="43D8E570" w14:textId="77777777" w:rsidR="00AB4071" w:rsidRPr="005601F2" w:rsidRDefault="00AB4071" w:rsidP="00E1705C">
      <w:pPr>
        <w:jc w:val="both"/>
      </w:pPr>
    </w:p>
    <w:p w14:paraId="72E6D912" w14:textId="28B13E21" w:rsidR="00AB4071" w:rsidRPr="005601F2" w:rsidRDefault="00AB4071" w:rsidP="00E1705C">
      <w:pPr>
        <w:jc w:val="both"/>
        <w:rPr>
          <w:b/>
          <w:bCs/>
        </w:rPr>
      </w:pPr>
      <w:r w:rsidRPr="005601F2">
        <w:rPr>
          <w:b/>
          <w:bCs/>
        </w:rPr>
        <w:t>Inženjeri</w:t>
      </w:r>
    </w:p>
    <w:p w14:paraId="1D226A26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Ukinuta je obveza dostave fotografije za građevinske inženjere.</w:t>
      </w:r>
      <w:bookmarkStart w:id="9" w:name="_Hlk164679488"/>
    </w:p>
    <w:p w14:paraId="0A45043F" w14:textId="07FF38BD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Naknade za prekograničn</w:t>
      </w:r>
      <w:r w:rsidR="00247D62" w:rsidRPr="005601F2">
        <w:rPr>
          <w:rFonts w:ascii="Times New Roman" w:hAnsi="Times New Roman"/>
          <w:sz w:val="24"/>
          <w:szCs w:val="24"/>
        </w:rPr>
        <w:t xml:space="preserve">e </w:t>
      </w:r>
      <w:r w:rsidRPr="005601F2">
        <w:rPr>
          <w:rFonts w:ascii="Times New Roman" w:hAnsi="Times New Roman"/>
          <w:sz w:val="24"/>
          <w:szCs w:val="24"/>
        </w:rPr>
        <w:t>inženjer</w:t>
      </w:r>
      <w:r w:rsidR="00247D62" w:rsidRPr="005601F2">
        <w:rPr>
          <w:rFonts w:ascii="Times New Roman" w:hAnsi="Times New Roman"/>
          <w:sz w:val="24"/>
          <w:szCs w:val="24"/>
        </w:rPr>
        <w:t>e</w:t>
      </w:r>
      <w:r w:rsidRPr="005601F2">
        <w:rPr>
          <w:rFonts w:ascii="Times New Roman" w:hAnsi="Times New Roman"/>
          <w:sz w:val="24"/>
          <w:szCs w:val="24"/>
        </w:rPr>
        <w:t xml:space="preserve"> građevinarstva iz EU/</w:t>
      </w:r>
      <w:r w:rsidR="000B7469" w:rsidRPr="005601F2">
        <w:rPr>
          <w:rFonts w:ascii="Times New Roman" w:hAnsi="Times New Roman"/>
          <w:sz w:val="24"/>
          <w:szCs w:val="24"/>
        </w:rPr>
        <w:t>EGP</w:t>
      </w:r>
      <w:r w:rsidRPr="005601F2">
        <w:rPr>
          <w:rFonts w:ascii="Times New Roman" w:hAnsi="Times New Roman"/>
          <w:sz w:val="24"/>
          <w:szCs w:val="24"/>
        </w:rPr>
        <w:t xml:space="preserve"> smanjene su na </w:t>
      </w:r>
      <w:r w:rsidR="00662268" w:rsidRPr="005601F2">
        <w:rPr>
          <w:rFonts w:ascii="Times New Roman" w:hAnsi="Times New Roman"/>
          <w:sz w:val="24"/>
          <w:szCs w:val="24"/>
        </w:rPr>
        <w:t xml:space="preserve">250 na </w:t>
      </w:r>
      <w:r w:rsidRPr="005601F2">
        <w:rPr>
          <w:rFonts w:ascii="Times New Roman" w:hAnsi="Times New Roman"/>
          <w:sz w:val="24"/>
          <w:szCs w:val="24"/>
        </w:rPr>
        <w:t>200 EUR</w:t>
      </w:r>
      <w:r w:rsidR="00662268" w:rsidRPr="005601F2">
        <w:rPr>
          <w:rFonts w:ascii="Times New Roman" w:hAnsi="Times New Roman"/>
          <w:sz w:val="24"/>
          <w:szCs w:val="24"/>
        </w:rPr>
        <w:t xml:space="preserve"> i inženjere elektrotehnike s 520 na 200 eura.</w:t>
      </w:r>
    </w:p>
    <w:p w14:paraId="14C09239" w14:textId="65304F86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lastRenderedPageBreak/>
        <w:t>Snižene su naknade za priznavanje kvalifikacija iz područja građevinarstva, elektrotehnike i strojarstva iz država EU/</w:t>
      </w:r>
      <w:r w:rsidR="000B7469" w:rsidRPr="005601F2">
        <w:rPr>
          <w:rFonts w:ascii="Times New Roman" w:hAnsi="Times New Roman"/>
          <w:sz w:val="24"/>
          <w:szCs w:val="24"/>
        </w:rPr>
        <w:t>EGP</w:t>
      </w:r>
      <w:r w:rsidRPr="005601F2">
        <w:rPr>
          <w:rFonts w:ascii="Times New Roman" w:hAnsi="Times New Roman"/>
          <w:sz w:val="24"/>
          <w:szCs w:val="24"/>
        </w:rPr>
        <w:t xml:space="preserve"> (s 800 na 400 EUR).</w:t>
      </w:r>
    </w:p>
    <w:p w14:paraId="3AB64410" w14:textId="77777777" w:rsidR="00AB4071" w:rsidRPr="005601F2" w:rsidRDefault="00AB4071" w:rsidP="00E1705C">
      <w:pPr>
        <w:jc w:val="both"/>
        <w:rPr>
          <w:b/>
          <w:bCs/>
        </w:rPr>
      </w:pPr>
    </w:p>
    <w:p w14:paraId="7D5DEBDB" w14:textId="77777777" w:rsidR="00AB4071" w:rsidRPr="005601F2" w:rsidRDefault="00AB4071" w:rsidP="00E1705C">
      <w:pPr>
        <w:jc w:val="both"/>
        <w:rPr>
          <w:b/>
          <w:bCs/>
        </w:rPr>
      </w:pPr>
      <w:r w:rsidRPr="005601F2">
        <w:rPr>
          <w:b/>
          <w:bCs/>
        </w:rPr>
        <w:t>Geodeti</w:t>
      </w:r>
    </w:p>
    <w:p w14:paraId="172E2CCB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0" w:name="_Hlk175746120"/>
      <w:r w:rsidRPr="005601F2">
        <w:rPr>
          <w:rFonts w:ascii="Times New Roman" w:hAnsi="Times New Roman"/>
          <w:sz w:val="24"/>
          <w:szCs w:val="24"/>
        </w:rPr>
        <w:t>Ukinuta je obveza dostavljanja dokaza o nekažnjavanju za pružatelje geodetskih usluga na privremenoj i povremenoj osnovi.</w:t>
      </w:r>
    </w:p>
    <w:p w14:paraId="61792184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Ukinuta je obveza dostave fotografije za inženjere geodezije.</w:t>
      </w:r>
    </w:p>
    <w:p w14:paraId="49B0FB46" w14:textId="77777777" w:rsidR="00CB2D2C" w:rsidRPr="005601F2" w:rsidRDefault="00CB2D2C" w:rsidP="00E1705C">
      <w:pPr>
        <w:jc w:val="both"/>
      </w:pPr>
      <w:bookmarkStart w:id="11" w:name="_Hlk178249449"/>
    </w:p>
    <w:p w14:paraId="6C6E66EA" w14:textId="24ADBA13" w:rsidR="00CB2D2C" w:rsidRPr="005601F2" w:rsidRDefault="00CB2D2C" w:rsidP="00E1705C">
      <w:pPr>
        <w:jc w:val="both"/>
        <w:rPr>
          <w:b/>
          <w:bCs/>
        </w:rPr>
      </w:pPr>
      <w:r w:rsidRPr="005601F2">
        <w:rPr>
          <w:b/>
          <w:bCs/>
        </w:rPr>
        <w:t>Veterinari</w:t>
      </w:r>
    </w:p>
    <w:p w14:paraId="15DD22E9" w14:textId="50B1684F" w:rsidR="00CB2D2C" w:rsidRPr="005601F2" w:rsidRDefault="00CB2D2C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2" w:name="_Hlk182988673"/>
      <w:r w:rsidRPr="005601F2">
        <w:rPr>
          <w:rFonts w:ascii="Times New Roman" w:hAnsi="Times New Roman"/>
          <w:sz w:val="24"/>
          <w:szCs w:val="24"/>
        </w:rPr>
        <w:t>Ukinuta je obvezu dostave potvrde o nekažnjavanju za veterinare.</w:t>
      </w:r>
    </w:p>
    <w:p w14:paraId="03597869" w14:textId="73C46707" w:rsidR="00CB2D2C" w:rsidRPr="005601F2" w:rsidRDefault="00CB2D2C" w:rsidP="00E1705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Smanjeno je ograničenje starosti pisanog dokaza o valjanosti veterinarske licence s jednog na šest mjeseci.</w:t>
      </w:r>
    </w:p>
    <w:p w14:paraId="3A3D52D2" w14:textId="5D1F1676" w:rsidR="006456B0" w:rsidRPr="005601F2" w:rsidRDefault="00CB2D2C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 xml:space="preserve">Ukinuta je obveza dostave dokaza u originalima ili ovjerenim preslikama odnosno ovjerenih prijevoda od strane ovlaštenog stalnog sudskog tumača ukoliko se provjera vrši putem </w:t>
      </w:r>
      <w:r w:rsidR="00247D62" w:rsidRPr="005601F2">
        <w:rPr>
          <w:rFonts w:ascii="Times New Roman" w:hAnsi="Times New Roman"/>
          <w:sz w:val="24"/>
          <w:szCs w:val="24"/>
        </w:rPr>
        <w:t xml:space="preserve">Informacijskog </w:t>
      </w:r>
      <w:r w:rsidRPr="005601F2">
        <w:rPr>
          <w:rFonts w:ascii="Times New Roman" w:hAnsi="Times New Roman"/>
          <w:sz w:val="24"/>
          <w:szCs w:val="24"/>
        </w:rPr>
        <w:t xml:space="preserve">sustava </w:t>
      </w:r>
      <w:r w:rsidR="00247D62" w:rsidRPr="005601F2">
        <w:rPr>
          <w:rFonts w:ascii="Times New Roman" w:hAnsi="Times New Roman"/>
          <w:sz w:val="24"/>
          <w:szCs w:val="24"/>
        </w:rPr>
        <w:t>unutarnjeg tržišta (</w:t>
      </w:r>
      <w:r w:rsidRPr="005601F2">
        <w:rPr>
          <w:rFonts w:ascii="Times New Roman" w:hAnsi="Times New Roman"/>
          <w:sz w:val="24"/>
          <w:szCs w:val="24"/>
        </w:rPr>
        <w:t>IMI</w:t>
      </w:r>
      <w:bookmarkEnd w:id="9"/>
      <w:bookmarkEnd w:id="10"/>
      <w:bookmarkEnd w:id="11"/>
      <w:r w:rsidR="00247D62" w:rsidRPr="005601F2">
        <w:rPr>
          <w:rFonts w:ascii="Times New Roman" w:hAnsi="Times New Roman"/>
          <w:sz w:val="24"/>
          <w:szCs w:val="24"/>
        </w:rPr>
        <w:t>)</w:t>
      </w:r>
      <w:r w:rsidRPr="005601F2">
        <w:rPr>
          <w:rFonts w:ascii="Times New Roman" w:hAnsi="Times New Roman"/>
          <w:sz w:val="24"/>
          <w:szCs w:val="24"/>
        </w:rPr>
        <w:t>.</w:t>
      </w:r>
    </w:p>
    <w:bookmarkEnd w:id="12"/>
    <w:p w14:paraId="6839019F" w14:textId="77777777" w:rsidR="00CB2D2C" w:rsidRPr="005601F2" w:rsidRDefault="00CB2D2C" w:rsidP="00E1705C">
      <w:pPr>
        <w:jc w:val="both"/>
        <w:rPr>
          <w:b/>
          <w:bCs/>
        </w:rPr>
      </w:pPr>
    </w:p>
    <w:p w14:paraId="62A5C071" w14:textId="6AFF8909" w:rsidR="00AB4071" w:rsidRPr="005601F2" w:rsidRDefault="00AB4071" w:rsidP="00E1705C">
      <w:pPr>
        <w:jc w:val="both"/>
        <w:rPr>
          <w:b/>
          <w:bCs/>
        </w:rPr>
      </w:pPr>
      <w:r w:rsidRPr="005601F2">
        <w:rPr>
          <w:b/>
          <w:bCs/>
        </w:rPr>
        <w:t>II. Provedeno temeljem već usvojenog Drugog akcijskog plana</w:t>
      </w:r>
      <w:r w:rsidR="001C3171" w:rsidRPr="005601F2">
        <w:rPr>
          <w:b/>
          <w:bCs/>
        </w:rPr>
        <w:t xml:space="preserve"> </w:t>
      </w:r>
      <w:r w:rsidR="001C3171" w:rsidRPr="005601F2">
        <w:t>(17</w:t>
      </w:r>
      <w:r w:rsidR="00F95F05" w:rsidRPr="005601F2">
        <w:t xml:space="preserve"> </w:t>
      </w:r>
      <w:r w:rsidR="001C3171" w:rsidRPr="005601F2">
        <w:t>mjera</w:t>
      </w:r>
      <w:r w:rsidR="00F95F05" w:rsidRPr="005601F2">
        <w:t xml:space="preserve"> od ukupno 18 planiranih</w:t>
      </w:r>
      <w:r w:rsidR="002D76F0" w:rsidRPr="005601F2">
        <w:t>)</w:t>
      </w:r>
    </w:p>
    <w:p w14:paraId="0BD49CD3" w14:textId="77777777" w:rsidR="00AB4071" w:rsidRPr="005601F2" w:rsidRDefault="00AB4071" w:rsidP="00E1705C">
      <w:pPr>
        <w:jc w:val="both"/>
      </w:pPr>
    </w:p>
    <w:p w14:paraId="76910219" w14:textId="77777777" w:rsidR="00AB4071" w:rsidRPr="005601F2" w:rsidRDefault="00AB4071" w:rsidP="00E1705C">
      <w:pPr>
        <w:jc w:val="both"/>
        <w:rPr>
          <w:b/>
          <w:bCs/>
        </w:rPr>
      </w:pPr>
      <w:r w:rsidRPr="005601F2">
        <w:rPr>
          <w:b/>
          <w:bCs/>
        </w:rPr>
        <w:t>Porezni savjetnici</w:t>
      </w:r>
    </w:p>
    <w:p w14:paraId="340A62CF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Kvalificirani kandidati oslobođeni su obveze polaganja dijela stručnog ispita za poreznog savjetnika.</w:t>
      </w:r>
    </w:p>
    <w:p w14:paraId="0D7D5E11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Dio stručnog ispita za poreznog savjetnika koji se polaže samo usmeno može se polagati i pismeno.</w:t>
      </w:r>
    </w:p>
    <w:p w14:paraId="1D8E74DD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Određen je samostalan žalbeni postupak za kandidate koji polažu stručni ispit za poreznog savjetnika.</w:t>
      </w:r>
    </w:p>
    <w:p w14:paraId="7D260F15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Pravo na polaganje stručnog ispita za poreznog savjetnika imaju kandidati sa završenim prvostupničkim ili magistarskim studijem i tri godine odgovarajućeg radnog iskustva.</w:t>
      </w:r>
    </w:p>
    <w:p w14:paraId="381D9FCD" w14:textId="68A05653" w:rsidR="00AB4071" w:rsidRPr="005601F2" w:rsidRDefault="008F6024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 xml:space="preserve">Omogućeno je </w:t>
      </w:r>
      <w:r w:rsidR="00AB4071" w:rsidRPr="005601F2">
        <w:rPr>
          <w:rFonts w:ascii="Times New Roman" w:hAnsi="Times New Roman"/>
          <w:sz w:val="24"/>
          <w:szCs w:val="24"/>
        </w:rPr>
        <w:t>polaganj</w:t>
      </w:r>
      <w:r w:rsidRPr="005601F2">
        <w:rPr>
          <w:rFonts w:ascii="Times New Roman" w:hAnsi="Times New Roman"/>
          <w:sz w:val="24"/>
          <w:szCs w:val="24"/>
        </w:rPr>
        <w:t>e</w:t>
      </w:r>
      <w:r w:rsidR="00AB4071" w:rsidRPr="005601F2">
        <w:rPr>
          <w:rFonts w:ascii="Times New Roman" w:hAnsi="Times New Roman"/>
          <w:sz w:val="24"/>
          <w:szCs w:val="24"/>
        </w:rPr>
        <w:t xml:space="preserve"> stručnog ispita za poreznog savjetnika kandidati</w:t>
      </w:r>
      <w:r w:rsidRPr="005601F2">
        <w:rPr>
          <w:rFonts w:ascii="Times New Roman" w:hAnsi="Times New Roman"/>
          <w:sz w:val="24"/>
          <w:szCs w:val="24"/>
        </w:rPr>
        <w:t>ma</w:t>
      </w:r>
      <w:r w:rsidR="00AB4071" w:rsidRPr="005601F2">
        <w:rPr>
          <w:rFonts w:ascii="Times New Roman" w:hAnsi="Times New Roman"/>
          <w:sz w:val="24"/>
          <w:szCs w:val="24"/>
        </w:rPr>
        <w:t xml:space="preserve"> sa završenim specijalističkim studijem i pet godina radnog iskustva.</w:t>
      </w:r>
    </w:p>
    <w:p w14:paraId="63884906" w14:textId="77777777" w:rsidR="00AB4071" w:rsidRPr="005601F2" w:rsidRDefault="00AB4071" w:rsidP="00E1705C">
      <w:pPr>
        <w:jc w:val="both"/>
      </w:pPr>
    </w:p>
    <w:p w14:paraId="7E6644F1" w14:textId="77777777" w:rsidR="00AB4071" w:rsidRPr="005601F2" w:rsidRDefault="00AB4071" w:rsidP="00E1705C">
      <w:pPr>
        <w:jc w:val="both"/>
        <w:rPr>
          <w:b/>
          <w:bCs/>
        </w:rPr>
      </w:pPr>
      <w:r w:rsidRPr="005601F2">
        <w:rPr>
          <w:b/>
          <w:bCs/>
        </w:rPr>
        <w:t>Revizori</w:t>
      </w:r>
    </w:p>
    <w:p w14:paraId="76A630D8" w14:textId="52614388" w:rsidR="00CC2E7A" w:rsidRPr="005601F2" w:rsidRDefault="00CC2E7A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3" w:name="_Hlk164679307"/>
      <w:r w:rsidRPr="005601F2">
        <w:rPr>
          <w:rFonts w:ascii="Times New Roman" w:hAnsi="Times New Roman"/>
          <w:sz w:val="24"/>
          <w:szCs w:val="24"/>
        </w:rPr>
        <w:t>S</w:t>
      </w:r>
      <w:bookmarkEnd w:id="13"/>
      <w:r w:rsidRPr="005601F2">
        <w:rPr>
          <w:rFonts w:ascii="Times New Roman" w:hAnsi="Times New Roman"/>
          <w:sz w:val="24"/>
          <w:szCs w:val="24"/>
        </w:rPr>
        <w:t xml:space="preserve">niženi su komorski doprinos, članarina i naknada za ispit. </w:t>
      </w:r>
    </w:p>
    <w:p w14:paraId="3E8A04FC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Smanjeni su troškovi obuke za revizore.</w:t>
      </w:r>
    </w:p>
    <w:p w14:paraId="4FEE0C5D" w14:textId="1A8DB135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Relevantni ispiti i stručne kvalifikacije stečene u Hrvatskoj ili na međunarodnoj razini priznaju se u smislu izuzeća od polaganja revizorskog ispita.</w:t>
      </w:r>
    </w:p>
    <w:p w14:paraId="7A5D3D4C" w14:textId="1064DBD9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Ukinuta je obveza pohađanja stručnog osposobljavanja za polaganje revizorskog ispita za kandidate koji ispunjavaju razine formalnog obrazovanja.</w:t>
      </w:r>
    </w:p>
    <w:p w14:paraId="660593EE" w14:textId="77777777" w:rsidR="00AB4071" w:rsidRPr="005601F2" w:rsidRDefault="00AB4071" w:rsidP="00E1705C">
      <w:pPr>
        <w:jc w:val="both"/>
      </w:pPr>
    </w:p>
    <w:p w14:paraId="7F08ED18" w14:textId="77777777" w:rsidR="00AB4071" w:rsidRPr="005601F2" w:rsidRDefault="00AB4071" w:rsidP="00E1705C">
      <w:pPr>
        <w:jc w:val="both"/>
        <w:rPr>
          <w:b/>
        </w:rPr>
      </w:pPr>
      <w:r w:rsidRPr="005601F2">
        <w:rPr>
          <w:b/>
        </w:rPr>
        <w:t>Inženjeri geodezije</w:t>
      </w:r>
    </w:p>
    <w:p w14:paraId="147CB78B" w14:textId="5D16A469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</w:t>
      </w:r>
      <w:r w:rsidR="00E4233F" w:rsidRPr="005601F2">
        <w:rPr>
          <w:rFonts w:ascii="Times New Roman" w:hAnsi="Times New Roman"/>
          <w:sz w:val="24"/>
          <w:szCs w:val="24"/>
        </w:rPr>
        <w:t>ta je</w:t>
      </w:r>
      <w:r w:rsidRPr="005601F2">
        <w:rPr>
          <w:rFonts w:ascii="Times New Roman" w:hAnsi="Times New Roman"/>
          <w:sz w:val="24"/>
          <w:szCs w:val="24"/>
        </w:rPr>
        <w:t xml:space="preserve"> obvez</w:t>
      </w:r>
      <w:r w:rsidR="00172F66" w:rsidRPr="005601F2">
        <w:rPr>
          <w:rFonts w:ascii="Times New Roman" w:hAnsi="Times New Roman"/>
          <w:sz w:val="24"/>
          <w:szCs w:val="24"/>
        </w:rPr>
        <w:t>a pridržavanja</w:t>
      </w:r>
      <w:r w:rsidRPr="005601F2">
        <w:rPr>
          <w:rFonts w:ascii="Times New Roman" w:hAnsi="Times New Roman"/>
          <w:sz w:val="24"/>
          <w:szCs w:val="24"/>
        </w:rPr>
        <w:t xml:space="preserve"> komorskih smjernica o vremenskom roku izvođenja pojedinih geodetskih radova.</w:t>
      </w:r>
    </w:p>
    <w:p w14:paraId="0F9A12DC" w14:textId="77777777" w:rsidR="00AB4071" w:rsidRPr="005601F2" w:rsidRDefault="00AB4071" w:rsidP="00E1705C">
      <w:pPr>
        <w:jc w:val="both"/>
      </w:pPr>
    </w:p>
    <w:p w14:paraId="24D240B7" w14:textId="657C771B" w:rsidR="00AB4071" w:rsidRPr="005601F2" w:rsidRDefault="00AB4071" w:rsidP="00E1705C">
      <w:pPr>
        <w:jc w:val="both"/>
        <w:rPr>
          <w:b/>
        </w:rPr>
      </w:pPr>
      <w:r w:rsidRPr="005601F2">
        <w:rPr>
          <w:b/>
        </w:rPr>
        <w:t>Pomorski p</w:t>
      </w:r>
      <w:r w:rsidR="00EF45AA" w:rsidRPr="005601F2">
        <w:rPr>
          <w:b/>
        </w:rPr>
        <w:t>eljari</w:t>
      </w:r>
    </w:p>
    <w:p w14:paraId="31096833" w14:textId="220E2CD6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Produ</w:t>
      </w:r>
      <w:r w:rsidR="00E4233F" w:rsidRPr="005601F2">
        <w:rPr>
          <w:rFonts w:ascii="Times New Roman" w:hAnsi="Times New Roman"/>
          <w:sz w:val="24"/>
          <w:szCs w:val="24"/>
        </w:rPr>
        <w:t>ljena je</w:t>
      </w:r>
      <w:r w:rsidRPr="005601F2">
        <w:rPr>
          <w:rFonts w:ascii="Times New Roman" w:hAnsi="Times New Roman"/>
          <w:sz w:val="24"/>
          <w:szCs w:val="24"/>
        </w:rPr>
        <w:t xml:space="preserve"> primjen</w:t>
      </w:r>
      <w:r w:rsidR="00E4233F" w:rsidRPr="005601F2">
        <w:rPr>
          <w:rFonts w:ascii="Times New Roman" w:hAnsi="Times New Roman"/>
          <w:sz w:val="24"/>
          <w:szCs w:val="24"/>
        </w:rPr>
        <w:t>a</w:t>
      </w:r>
      <w:r w:rsidRPr="005601F2">
        <w:rPr>
          <w:rFonts w:ascii="Times New Roman" w:hAnsi="Times New Roman"/>
          <w:sz w:val="24"/>
          <w:szCs w:val="24"/>
        </w:rPr>
        <w:t xml:space="preserve"> potvrde o izuzeću od obveznog peljarenja</w:t>
      </w:r>
    </w:p>
    <w:p w14:paraId="50EF3D73" w14:textId="77777777" w:rsidR="00AB4071" w:rsidRPr="005601F2" w:rsidRDefault="00AB4071" w:rsidP="00E1705C">
      <w:pPr>
        <w:jc w:val="both"/>
        <w:rPr>
          <w:b/>
          <w:bCs/>
        </w:rPr>
      </w:pPr>
      <w:bookmarkStart w:id="14" w:name="_Hlk175130614"/>
    </w:p>
    <w:p w14:paraId="05154537" w14:textId="77777777" w:rsidR="00AB4071" w:rsidRPr="005601F2" w:rsidRDefault="00AB4071" w:rsidP="00E1705C">
      <w:pPr>
        <w:jc w:val="both"/>
        <w:rPr>
          <w:b/>
          <w:bCs/>
        </w:rPr>
      </w:pPr>
      <w:r w:rsidRPr="005601F2">
        <w:rPr>
          <w:b/>
          <w:bCs/>
        </w:rPr>
        <w:t>Javni bilježnici</w:t>
      </w:r>
    </w:p>
    <w:p w14:paraId="71F52C59" w14:textId="77777777" w:rsidR="00B218AD" w:rsidRPr="005601F2" w:rsidRDefault="00B218AD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5" w:name="_Hlk178681246"/>
      <w:r w:rsidRPr="005601F2">
        <w:rPr>
          <w:rFonts w:ascii="Times New Roman" w:hAnsi="Times New Roman"/>
          <w:sz w:val="24"/>
          <w:szCs w:val="24"/>
        </w:rPr>
        <w:t>Skraćeno je radno iskustvo nakon položenog pravosudnog ispita potrebnog za javne bilježnike.</w:t>
      </w:r>
    </w:p>
    <w:p w14:paraId="2EF87688" w14:textId="127A1E9D" w:rsidR="00AB4071" w:rsidRPr="005601F2" w:rsidRDefault="00B218AD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Skraćeni su uvjeti obavljanja službe u pravnim poslovima nakon položenog pravosudnog ispita za javne bilježnike.</w:t>
      </w:r>
    </w:p>
    <w:bookmarkEnd w:id="15"/>
    <w:p w14:paraId="51ABC816" w14:textId="77777777" w:rsidR="00B218AD" w:rsidRPr="005601F2" w:rsidRDefault="00B218AD" w:rsidP="00E1705C">
      <w:pPr>
        <w:jc w:val="both"/>
        <w:rPr>
          <w:b/>
          <w:bCs/>
        </w:rPr>
      </w:pPr>
    </w:p>
    <w:p w14:paraId="0CE8082A" w14:textId="3B3DECA2" w:rsidR="00AB4071" w:rsidRPr="005601F2" w:rsidRDefault="00AB4071" w:rsidP="00E1705C">
      <w:pPr>
        <w:jc w:val="both"/>
        <w:rPr>
          <w:b/>
          <w:bCs/>
        </w:rPr>
      </w:pPr>
      <w:r w:rsidRPr="005601F2">
        <w:rPr>
          <w:b/>
          <w:bCs/>
        </w:rPr>
        <w:t>Odvjetnici</w:t>
      </w:r>
    </w:p>
    <w:p w14:paraId="3C8DF50C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Ukinuta je obveza poštivanja minimalne satnice odvjetnika.</w:t>
      </w:r>
    </w:p>
    <w:p w14:paraId="2CFE9345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Dodatno su smanjena ograničenja oglašavanja odvjetnika.</w:t>
      </w:r>
    </w:p>
    <w:p w14:paraId="3D64839A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Hrvatskim odvjetnicima omogućeno je obavljanje odvjetničke djelatnosti u društvima u drugim državama članicama Europske unije.</w:t>
      </w:r>
    </w:p>
    <w:p w14:paraId="54197400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Ukinuta je obveza podnošenja prijave Hrvatskoj odvjetničkoj komori za pružanje prekograničnih usluga u Hrvatskoj (osim zastupanja) za odvjetnike iz država članica Europske unije koji nisu upisani u popis stranih odvjetnika.</w:t>
      </w:r>
    </w:p>
    <w:p w14:paraId="4F5C4B2C" w14:textId="77777777" w:rsidR="006456B0" w:rsidRPr="005601F2" w:rsidRDefault="006456B0" w:rsidP="00E1705C">
      <w:pPr>
        <w:jc w:val="both"/>
        <w:rPr>
          <w:b/>
          <w:bCs/>
        </w:rPr>
      </w:pPr>
    </w:p>
    <w:p w14:paraId="36408C2F" w14:textId="4175499B" w:rsidR="00AB4071" w:rsidRPr="005601F2" w:rsidRDefault="00AB4071" w:rsidP="00E1705C">
      <w:pPr>
        <w:jc w:val="both"/>
        <w:rPr>
          <w:b/>
          <w:bCs/>
        </w:rPr>
      </w:pPr>
      <w:r w:rsidRPr="005601F2">
        <w:rPr>
          <w:b/>
          <w:bCs/>
        </w:rPr>
        <w:t>III. Provedeno temeljem već usvojenog Prvog akcijskog plana</w:t>
      </w:r>
      <w:r w:rsidR="001C3171" w:rsidRPr="005601F2">
        <w:rPr>
          <w:b/>
          <w:bCs/>
        </w:rPr>
        <w:t xml:space="preserve"> </w:t>
      </w:r>
      <w:r w:rsidR="001C3171" w:rsidRPr="005601F2">
        <w:t>(18 mjera</w:t>
      </w:r>
      <w:r w:rsidR="00F95F05" w:rsidRPr="005601F2">
        <w:t xml:space="preserve"> od ukupno 20 planiranih</w:t>
      </w:r>
      <w:r w:rsidR="00410823" w:rsidRPr="005601F2">
        <w:t>; preostale 2 mjere biti će provedene tijekom 2025.</w:t>
      </w:r>
      <w:r w:rsidR="002337B8" w:rsidRPr="005601F2">
        <w:t>)</w:t>
      </w:r>
    </w:p>
    <w:p w14:paraId="654EAE2E" w14:textId="77777777" w:rsidR="00AB4071" w:rsidRPr="005601F2" w:rsidRDefault="00AB4071" w:rsidP="00E1705C">
      <w:pPr>
        <w:jc w:val="both"/>
      </w:pPr>
    </w:p>
    <w:p w14:paraId="167D0304" w14:textId="77777777" w:rsidR="00AB4071" w:rsidRPr="005601F2" w:rsidRDefault="00AB4071" w:rsidP="00E1705C">
      <w:pPr>
        <w:jc w:val="both"/>
        <w:rPr>
          <w:b/>
        </w:rPr>
      </w:pPr>
      <w:r w:rsidRPr="005601F2">
        <w:rPr>
          <w:b/>
        </w:rPr>
        <w:t>Odvjetnici</w:t>
      </w:r>
    </w:p>
    <w:p w14:paraId="54E95DEF" w14:textId="58DB2AA2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Ukinuta su ograničenja na podružnice europsk</w:t>
      </w:r>
      <w:r w:rsidR="00172F66" w:rsidRPr="005601F2">
        <w:rPr>
          <w:rFonts w:ascii="Times New Roman" w:hAnsi="Times New Roman"/>
          <w:sz w:val="24"/>
          <w:szCs w:val="24"/>
        </w:rPr>
        <w:t xml:space="preserve">ih </w:t>
      </w:r>
      <w:r w:rsidRPr="005601F2">
        <w:rPr>
          <w:rFonts w:ascii="Times New Roman" w:hAnsi="Times New Roman"/>
          <w:sz w:val="24"/>
          <w:szCs w:val="24"/>
        </w:rPr>
        <w:t>odvjetnik</w:t>
      </w:r>
      <w:r w:rsidR="00172F66" w:rsidRPr="005601F2">
        <w:rPr>
          <w:rFonts w:ascii="Times New Roman" w:hAnsi="Times New Roman"/>
          <w:sz w:val="24"/>
          <w:szCs w:val="24"/>
        </w:rPr>
        <w:t>a</w:t>
      </w:r>
      <w:r w:rsidRPr="005601F2">
        <w:rPr>
          <w:rFonts w:ascii="Times New Roman" w:hAnsi="Times New Roman"/>
          <w:sz w:val="24"/>
          <w:szCs w:val="24"/>
        </w:rPr>
        <w:t xml:space="preserve"> koji obavljaju profesiju pod naslovom iz matične zemlje.</w:t>
      </w:r>
    </w:p>
    <w:p w14:paraId="17C57D7B" w14:textId="64EF75A6" w:rsidR="00AB4071" w:rsidRPr="005601F2" w:rsidRDefault="00172F66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</w:t>
      </w:r>
      <w:r w:rsidR="00AB4071" w:rsidRPr="005601F2">
        <w:rPr>
          <w:rFonts w:ascii="Times New Roman" w:hAnsi="Times New Roman"/>
          <w:sz w:val="24"/>
          <w:szCs w:val="24"/>
        </w:rPr>
        <w:t>vedena je mogućnost zasnivanja radnog odnosa odvjetnika s odvjetnikom koji samostalno obavlja odvjetničku djelatnost kao poslodavac.</w:t>
      </w:r>
    </w:p>
    <w:p w14:paraId="0E6BA17E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Ukinuto je ograničenje samo jednog ureda za odvjetnike.</w:t>
      </w:r>
    </w:p>
    <w:p w14:paraId="521F0F07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Ukinuti su pretjerani uvjeti za upis u popis stranih odvjetnika.</w:t>
      </w:r>
    </w:p>
    <w:p w14:paraId="0C90587C" w14:textId="601C1001" w:rsidR="00AB4071" w:rsidRPr="005601F2" w:rsidRDefault="00172F66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 xml:space="preserve">Ukinuto je brisanje iz registra </w:t>
      </w:r>
      <w:r w:rsidR="00AB4071" w:rsidRPr="005601F2">
        <w:rPr>
          <w:rFonts w:ascii="Times New Roman" w:hAnsi="Times New Roman"/>
          <w:sz w:val="24"/>
          <w:szCs w:val="24"/>
        </w:rPr>
        <w:t xml:space="preserve">odvjetnika koji </w:t>
      </w:r>
      <w:r w:rsidRPr="005601F2">
        <w:rPr>
          <w:rFonts w:ascii="Times New Roman" w:hAnsi="Times New Roman"/>
          <w:sz w:val="24"/>
          <w:szCs w:val="24"/>
        </w:rPr>
        <w:t xml:space="preserve">tu djelatnost </w:t>
      </w:r>
      <w:r w:rsidR="00AB4071" w:rsidRPr="005601F2">
        <w:rPr>
          <w:rFonts w:ascii="Times New Roman" w:hAnsi="Times New Roman"/>
          <w:sz w:val="24"/>
          <w:szCs w:val="24"/>
        </w:rPr>
        <w:t>neopravdano nije obavljao</w:t>
      </w:r>
      <w:r w:rsidRPr="005601F2">
        <w:rPr>
          <w:rFonts w:ascii="Times New Roman" w:hAnsi="Times New Roman"/>
          <w:sz w:val="24"/>
          <w:szCs w:val="24"/>
        </w:rPr>
        <w:t xml:space="preserve"> </w:t>
      </w:r>
      <w:r w:rsidR="00AB4071" w:rsidRPr="005601F2">
        <w:rPr>
          <w:rFonts w:ascii="Times New Roman" w:hAnsi="Times New Roman"/>
          <w:sz w:val="24"/>
          <w:szCs w:val="24"/>
        </w:rPr>
        <w:t>dulje od 6 mjeseci.</w:t>
      </w:r>
    </w:p>
    <w:p w14:paraId="189F57D4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Ukinuti su pretjerani zahtjevi o kriterijima za pravnike EU koji polažu ispit o hrvatskom pravnom sustavu iz priznavanja kvalifikacija.</w:t>
      </w:r>
    </w:p>
    <w:p w14:paraId="33F91E22" w14:textId="77777777" w:rsidR="00AB4071" w:rsidRPr="005601F2" w:rsidRDefault="00AB4071" w:rsidP="00E1705C">
      <w:pPr>
        <w:jc w:val="both"/>
        <w:rPr>
          <w:b/>
        </w:rPr>
      </w:pPr>
    </w:p>
    <w:p w14:paraId="7705C814" w14:textId="20F366D7" w:rsidR="00AB4071" w:rsidRPr="005601F2" w:rsidRDefault="00AB4071" w:rsidP="00E1705C">
      <w:pPr>
        <w:jc w:val="both"/>
        <w:rPr>
          <w:b/>
        </w:rPr>
      </w:pPr>
      <w:r w:rsidRPr="005601F2">
        <w:rPr>
          <w:b/>
        </w:rPr>
        <w:t>Energetski certifikat</w:t>
      </w:r>
      <w:r w:rsidR="006456B0" w:rsidRPr="005601F2">
        <w:rPr>
          <w:b/>
        </w:rPr>
        <w:t>ori</w:t>
      </w:r>
    </w:p>
    <w:p w14:paraId="33D99D47" w14:textId="6D3A85F8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 je postupak re-licenciranja energetskih certifikatora.</w:t>
      </w:r>
    </w:p>
    <w:p w14:paraId="3E7389EE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Ukinuto je obvezno osiguranje od profesionalne odgovornosti energetskih certifikatora.</w:t>
      </w:r>
    </w:p>
    <w:p w14:paraId="717F40D5" w14:textId="33CA428E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Ukinuta je obveza dostave uvjerenja o nekažnjavanju za energetske certifikatore.</w:t>
      </w:r>
    </w:p>
    <w:p w14:paraId="39E70F42" w14:textId="77777777" w:rsidR="00AB4071" w:rsidRPr="005601F2" w:rsidRDefault="00AB4071" w:rsidP="00E1705C">
      <w:pPr>
        <w:jc w:val="both"/>
      </w:pPr>
    </w:p>
    <w:p w14:paraId="704135C2" w14:textId="77777777" w:rsidR="00AB4071" w:rsidRPr="005601F2" w:rsidRDefault="00AB4071" w:rsidP="00E1705C">
      <w:pPr>
        <w:jc w:val="both"/>
        <w:rPr>
          <w:b/>
        </w:rPr>
      </w:pPr>
      <w:r w:rsidRPr="005601F2">
        <w:rPr>
          <w:b/>
        </w:rPr>
        <w:t>Arhitekti</w:t>
      </w:r>
    </w:p>
    <w:p w14:paraId="09247AC2" w14:textId="2BE11ECE" w:rsidR="00AB4071" w:rsidRPr="005601F2" w:rsidRDefault="00172F66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Ukinuta je obveza dostavljanja potvrde o prebivalištu za arhitekte.</w:t>
      </w:r>
    </w:p>
    <w:p w14:paraId="6C4038CB" w14:textId="77777777" w:rsidR="0014575E" w:rsidRPr="005601F2" w:rsidRDefault="0014575E" w:rsidP="00E1705C">
      <w:pPr>
        <w:jc w:val="both"/>
        <w:rPr>
          <w:b/>
        </w:rPr>
      </w:pPr>
    </w:p>
    <w:p w14:paraId="57862510" w14:textId="05A37EB2" w:rsidR="00AB4071" w:rsidRPr="005601F2" w:rsidRDefault="00AB4071" w:rsidP="00E1705C">
      <w:pPr>
        <w:jc w:val="both"/>
        <w:rPr>
          <w:b/>
        </w:rPr>
      </w:pPr>
      <w:r w:rsidRPr="005601F2">
        <w:rPr>
          <w:b/>
        </w:rPr>
        <w:t>Ljekarne</w:t>
      </w:r>
    </w:p>
    <w:p w14:paraId="5048C6AE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Uklonjeni su pretjerani minimalni zahtjevi za ljekarničke objekte.</w:t>
      </w:r>
    </w:p>
    <w:p w14:paraId="12FAE252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Uklonjena su pretjerana ograničenja reklamiranja ljekarni.</w:t>
      </w:r>
    </w:p>
    <w:p w14:paraId="3DC926DA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Uklonjeni su pretjerani zahtjevi o radnom vremenu ljekarni.</w:t>
      </w:r>
    </w:p>
    <w:p w14:paraId="68E44279" w14:textId="77777777" w:rsidR="00AB4071" w:rsidRPr="005601F2" w:rsidRDefault="00AB4071" w:rsidP="00E1705C">
      <w:pPr>
        <w:jc w:val="both"/>
      </w:pPr>
    </w:p>
    <w:p w14:paraId="17D70E86" w14:textId="77777777" w:rsidR="00AB4071" w:rsidRPr="005601F2" w:rsidRDefault="00AB4071" w:rsidP="00E1705C">
      <w:pPr>
        <w:jc w:val="both"/>
        <w:rPr>
          <w:b/>
        </w:rPr>
      </w:pPr>
      <w:r w:rsidRPr="005601F2">
        <w:rPr>
          <w:b/>
        </w:rPr>
        <w:t>Fizioterapeuti</w:t>
      </w:r>
    </w:p>
    <w:p w14:paraId="3054FA1B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lastRenderedPageBreak/>
        <w:t>Osigurani su jednaki uvjeti za pristup otvorenim javnim natječajima za pružanje usluga fizikalne terapije za sve zainteresirane.</w:t>
      </w:r>
    </w:p>
    <w:p w14:paraId="470BA5F7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Ukinuta su ograničenja oglašavanja usluga fizikalne terapije.</w:t>
      </w:r>
    </w:p>
    <w:p w14:paraId="24EACB80" w14:textId="77777777" w:rsidR="00AB4071" w:rsidRPr="005601F2" w:rsidRDefault="00AB4071" w:rsidP="00E1705C">
      <w:pPr>
        <w:jc w:val="both"/>
      </w:pPr>
    </w:p>
    <w:p w14:paraId="5E8DAE03" w14:textId="77777777" w:rsidR="00AB4071" w:rsidRPr="005601F2" w:rsidRDefault="00AB4071" w:rsidP="00E1705C">
      <w:pPr>
        <w:jc w:val="both"/>
        <w:rPr>
          <w:b/>
        </w:rPr>
      </w:pPr>
      <w:r w:rsidRPr="005601F2">
        <w:rPr>
          <w:b/>
        </w:rPr>
        <w:t>Voditelji turističkih agencija</w:t>
      </w:r>
    </w:p>
    <w:p w14:paraId="7C5991FC" w14:textId="0967AF9C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Ukinuta je obveza EU/</w:t>
      </w:r>
      <w:r w:rsidR="000B7469" w:rsidRPr="005601F2">
        <w:rPr>
          <w:rFonts w:ascii="Times New Roman" w:hAnsi="Times New Roman"/>
          <w:sz w:val="24"/>
          <w:szCs w:val="24"/>
        </w:rPr>
        <w:t>EGP</w:t>
      </w:r>
      <w:r w:rsidRPr="005601F2">
        <w:rPr>
          <w:rFonts w:ascii="Times New Roman" w:hAnsi="Times New Roman"/>
          <w:sz w:val="24"/>
          <w:szCs w:val="24"/>
        </w:rPr>
        <w:t xml:space="preserve"> turističkih vodiča i voditelja turističkih agencija da izjavu o osposobljenosti dostavljaju isključivo na propisanom obrascu.</w:t>
      </w:r>
    </w:p>
    <w:p w14:paraId="13427C24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Ukinuti su uvjeti poznavanja barem jednog svjetskog jezika za voditelje turističkih agencija i hrvatskog jezika.</w:t>
      </w:r>
    </w:p>
    <w:p w14:paraId="78A133D6" w14:textId="77777777" w:rsidR="00AB4071" w:rsidRPr="005601F2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Za voditelje turističkih agencija ukinut je uvjet najmanje jedne godine radnog iskustva.</w:t>
      </w:r>
    </w:p>
    <w:p w14:paraId="54A50DEC" w14:textId="77777777" w:rsidR="006456B0" w:rsidRPr="005601F2" w:rsidRDefault="006456B0" w:rsidP="00E1705C">
      <w:pPr>
        <w:jc w:val="both"/>
        <w:rPr>
          <w:b/>
          <w:bCs/>
        </w:rPr>
      </w:pPr>
    </w:p>
    <w:p w14:paraId="70657835" w14:textId="3A6407FF" w:rsidR="00AB4071" w:rsidRPr="005601F2" w:rsidRDefault="001C3171" w:rsidP="00E1705C">
      <w:pPr>
        <w:jc w:val="both"/>
        <w:rPr>
          <w:b/>
          <w:bCs/>
        </w:rPr>
      </w:pPr>
      <w:r w:rsidRPr="005601F2">
        <w:rPr>
          <w:b/>
          <w:bCs/>
        </w:rPr>
        <w:t xml:space="preserve">IV. </w:t>
      </w:r>
      <w:r w:rsidR="00AB4071" w:rsidRPr="005601F2">
        <w:rPr>
          <w:b/>
          <w:bCs/>
        </w:rPr>
        <w:t xml:space="preserve">Provedeno </w:t>
      </w:r>
      <w:r w:rsidRPr="005601F2">
        <w:rPr>
          <w:b/>
          <w:bCs/>
        </w:rPr>
        <w:t>izvan okvira</w:t>
      </w:r>
      <w:r w:rsidR="00AB4071" w:rsidRPr="005601F2">
        <w:rPr>
          <w:b/>
          <w:bCs/>
        </w:rPr>
        <w:t xml:space="preserve"> akcijski</w:t>
      </w:r>
      <w:r w:rsidRPr="005601F2">
        <w:rPr>
          <w:b/>
          <w:bCs/>
        </w:rPr>
        <w:t>h</w:t>
      </w:r>
      <w:r w:rsidR="00AB4071" w:rsidRPr="005601F2">
        <w:rPr>
          <w:b/>
          <w:bCs/>
        </w:rPr>
        <w:t xml:space="preserve"> plan</w:t>
      </w:r>
      <w:r w:rsidRPr="005601F2">
        <w:rPr>
          <w:b/>
          <w:bCs/>
        </w:rPr>
        <w:t xml:space="preserve">ova </w:t>
      </w:r>
      <w:r w:rsidRPr="005601F2">
        <w:t>(1</w:t>
      </w:r>
      <w:r w:rsidR="000B7469" w:rsidRPr="005601F2">
        <w:t>6</w:t>
      </w:r>
      <w:r w:rsidRPr="005601F2">
        <w:t xml:space="preserve"> mjera)</w:t>
      </w:r>
    </w:p>
    <w:p w14:paraId="7FC18B7A" w14:textId="77777777" w:rsidR="00AB4071" w:rsidRPr="005601F2" w:rsidRDefault="00AB4071" w:rsidP="00E1705C">
      <w:pPr>
        <w:jc w:val="both"/>
        <w:rPr>
          <w:b/>
          <w:bCs/>
        </w:rPr>
      </w:pPr>
    </w:p>
    <w:p w14:paraId="21012AD9" w14:textId="050B80CD" w:rsidR="006A7CE0" w:rsidRPr="005601F2" w:rsidRDefault="006A7CE0" w:rsidP="00E1705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6" w:name="_Hlk182988598"/>
      <w:r w:rsidRPr="005601F2">
        <w:rPr>
          <w:rFonts w:ascii="Times New Roman" w:hAnsi="Times New Roman"/>
          <w:b/>
          <w:bCs/>
          <w:sz w:val="24"/>
          <w:szCs w:val="24"/>
        </w:rPr>
        <w:t>Voditelji građevinskih radova / inženjeri gradilišta</w:t>
      </w:r>
    </w:p>
    <w:p w14:paraId="012406C7" w14:textId="77777777" w:rsidR="006A7CE0" w:rsidRPr="005601F2" w:rsidRDefault="006A7CE0" w:rsidP="00E1705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Ukinuto je obvezno članstvo u strukovnoj komori za voditelje radova odnosno inženjere gradilišta.</w:t>
      </w:r>
    </w:p>
    <w:p w14:paraId="70E72AA7" w14:textId="42F560C8" w:rsidR="006A7CE0" w:rsidRPr="005601F2" w:rsidRDefault="006A7CE0" w:rsidP="00E1705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Ukinuto je obvezno osiguranje od profesionalne odgovornosti za voditelje radova odnosno inženjere gradilišta.</w:t>
      </w:r>
    </w:p>
    <w:bookmarkEnd w:id="16"/>
    <w:p w14:paraId="26CB7520" w14:textId="77777777" w:rsidR="0073199C" w:rsidRPr="005601F2" w:rsidRDefault="0073199C" w:rsidP="00E1705C">
      <w:pPr>
        <w:jc w:val="both"/>
        <w:rPr>
          <w:b/>
          <w:bCs/>
        </w:rPr>
      </w:pPr>
    </w:p>
    <w:p w14:paraId="3EE9E700" w14:textId="35F583BB" w:rsidR="005F1E66" w:rsidRPr="005601F2" w:rsidRDefault="005F1E66" w:rsidP="00E1705C">
      <w:pPr>
        <w:jc w:val="both"/>
        <w:rPr>
          <w:b/>
          <w:bCs/>
        </w:rPr>
      </w:pPr>
      <w:r w:rsidRPr="005601F2">
        <w:rPr>
          <w:b/>
          <w:bCs/>
        </w:rPr>
        <w:t>Voditelji turističkih agencija</w:t>
      </w:r>
    </w:p>
    <w:p w14:paraId="2E4FBD0C" w14:textId="225BCA14" w:rsidR="005F1E66" w:rsidRPr="005601F2" w:rsidRDefault="005F1E66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Ukinuta je naknada za polaganje stručnog ispita za voditelje turističkih agencija.</w:t>
      </w:r>
    </w:p>
    <w:p w14:paraId="44144B3A" w14:textId="77777777" w:rsidR="005F1E66" w:rsidRPr="005601F2" w:rsidRDefault="005F1E66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Ukinuta je obveza pohađanja predavanja prije polaganja stručnog ispita za voditelje turističkih agencija.</w:t>
      </w:r>
    </w:p>
    <w:p w14:paraId="2DF06F78" w14:textId="77777777" w:rsidR="00CC2E7A" w:rsidRPr="005601F2" w:rsidRDefault="00CC2E7A" w:rsidP="00E1705C">
      <w:pPr>
        <w:jc w:val="both"/>
      </w:pPr>
    </w:p>
    <w:p w14:paraId="52BD43BB" w14:textId="3D952916" w:rsidR="00EF45AA" w:rsidRPr="005601F2" w:rsidRDefault="00EF45AA" w:rsidP="00E1705C">
      <w:pPr>
        <w:shd w:val="clear" w:color="auto" w:fill="FFFFFF"/>
        <w:jc w:val="both"/>
        <w:rPr>
          <w:b/>
        </w:rPr>
      </w:pPr>
      <w:bookmarkStart w:id="17" w:name="_Hlk183415450"/>
      <w:r w:rsidRPr="005601F2">
        <w:rPr>
          <w:b/>
        </w:rPr>
        <w:t>Inženjeri građevinarstva</w:t>
      </w:r>
    </w:p>
    <w:p w14:paraId="79851F40" w14:textId="67D4C9C2" w:rsidR="00EF45AA" w:rsidRPr="005601F2" w:rsidRDefault="00EF45AA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8" w:name="_Hlk136604869"/>
      <w:r w:rsidRPr="005601F2">
        <w:rPr>
          <w:rFonts w:ascii="Times New Roman" w:hAnsi="Times New Roman"/>
          <w:sz w:val="24"/>
          <w:szCs w:val="24"/>
        </w:rPr>
        <w:t>Dodatno su pojednostavljene neobvezujuće komorske smjernice za standard usluge i norme sati inženjera građevinarstva.</w:t>
      </w:r>
    </w:p>
    <w:bookmarkEnd w:id="18"/>
    <w:p w14:paraId="60408AE6" w14:textId="77777777" w:rsidR="00EF45AA" w:rsidRPr="005601F2" w:rsidRDefault="00EF45AA" w:rsidP="00E1705C">
      <w:pPr>
        <w:shd w:val="clear" w:color="auto" w:fill="FFFFFF"/>
        <w:jc w:val="both"/>
        <w:rPr>
          <w:b/>
        </w:rPr>
      </w:pPr>
    </w:p>
    <w:p w14:paraId="2CAE6BF2" w14:textId="32C9BEA0" w:rsidR="00CC2E7A" w:rsidRPr="005601F2" w:rsidRDefault="00CC2E7A" w:rsidP="00E1705C">
      <w:pPr>
        <w:shd w:val="clear" w:color="auto" w:fill="FFFFFF"/>
        <w:jc w:val="both"/>
        <w:rPr>
          <w:b/>
        </w:rPr>
      </w:pPr>
      <w:r w:rsidRPr="005601F2">
        <w:rPr>
          <w:b/>
        </w:rPr>
        <w:t>Inženjeri rudarstva</w:t>
      </w:r>
    </w:p>
    <w:p w14:paraId="2259661A" w14:textId="440D3151" w:rsidR="00CC2E7A" w:rsidRPr="005601F2" w:rsidRDefault="00CC2E7A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eastAsia="Times New Roman" w:hAnsi="Times New Roman"/>
          <w:bCs/>
          <w:sz w:val="24"/>
          <w:szCs w:val="24"/>
          <w:lang w:eastAsia="hr-HR"/>
        </w:rPr>
        <w:lastRenderedPageBreak/>
        <w:t xml:space="preserve">Sve informacije o uvjetima dostupne su putem </w:t>
      </w:r>
      <w:r w:rsidRPr="005601F2">
        <w:rPr>
          <w:rFonts w:ascii="Times New Roman" w:hAnsi="Times New Roman"/>
          <w:sz w:val="24"/>
          <w:szCs w:val="24"/>
        </w:rPr>
        <w:t xml:space="preserve">Jedinstvene kontaktne točke za usluge te je omogućeno slanje dokumentacije e-poštom. Otvaranjem tržišta konkurenciji, pružateljima iz </w:t>
      </w:r>
      <w:r w:rsidR="000B7469" w:rsidRPr="005601F2">
        <w:rPr>
          <w:rFonts w:ascii="Times New Roman" w:hAnsi="Times New Roman"/>
          <w:sz w:val="24"/>
          <w:szCs w:val="24"/>
        </w:rPr>
        <w:t>EU/EGP</w:t>
      </w:r>
      <w:r w:rsidRPr="005601F2">
        <w:rPr>
          <w:rFonts w:ascii="Times New Roman" w:hAnsi="Times New Roman"/>
          <w:sz w:val="24"/>
          <w:szCs w:val="24"/>
        </w:rPr>
        <w:t xml:space="preserve"> zajamčen</w:t>
      </w:r>
      <w:r w:rsidR="000B7469" w:rsidRPr="005601F2">
        <w:rPr>
          <w:rFonts w:ascii="Times New Roman" w:hAnsi="Times New Roman"/>
          <w:sz w:val="24"/>
          <w:szCs w:val="24"/>
        </w:rPr>
        <w:t>i</w:t>
      </w:r>
      <w:r w:rsidRPr="005601F2">
        <w:rPr>
          <w:rFonts w:ascii="Times New Roman" w:hAnsi="Times New Roman"/>
          <w:sz w:val="24"/>
          <w:szCs w:val="24"/>
        </w:rPr>
        <w:t xml:space="preserve"> su sloboda poslovnog nastana i sloboda prekograničnog pružanja usluga. </w:t>
      </w:r>
    </w:p>
    <w:p w14:paraId="64B42D2A" w14:textId="77777777" w:rsidR="00CC2E7A" w:rsidRPr="005601F2" w:rsidRDefault="00CC2E7A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Ukinuta je obveza dostave dokaznice o poznavanju hrvatskog jezika za kandidate za rudarske inženjere koji su stručnu spremu stekli u inozemstvu.</w:t>
      </w:r>
    </w:p>
    <w:p w14:paraId="45206D1F" w14:textId="77777777" w:rsidR="00CC2E7A" w:rsidRPr="005601F2" w:rsidRDefault="00CC2E7A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Kandidati za rudarske inženjere mogu ponovno polagati stručni ispit nakon tri mjeseca, umjesto nakon godinu dana.</w:t>
      </w:r>
    </w:p>
    <w:p w14:paraId="58D1814D" w14:textId="0B8C51A6" w:rsidR="00CC2E7A" w:rsidRPr="005601F2" w:rsidRDefault="00CC2E7A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Omogućena je elektronička prijava stručnog ispita za rudarske inženjere.</w:t>
      </w:r>
    </w:p>
    <w:p w14:paraId="7E6D5113" w14:textId="77777777" w:rsidR="00BA210A" w:rsidRPr="005601F2" w:rsidRDefault="00BA210A" w:rsidP="00E1705C">
      <w:pPr>
        <w:jc w:val="both"/>
        <w:rPr>
          <w:b/>
          <w:bCs/>
        </w:rPr>
      </w:pPr>
      <w:bookmarkStart w:id="19" w:name="_Hlk183415759"/>
    </w:p>
    <w:p w14:paraId="3B8C9190" w14:textId="42CC4D99" w:rsidR="00CC2E7A" w:rsidRPr="005601F2" w:rsidRDefault="00CC2E7A" w:rsidP="00E1705C">
      <w:pPr>
        <w:jc w:val="both"/>
        <w:rPr>
          <w:b/>
          <w:bCs/>
        </w:rPr>
      </w:pPr>
      <w:r w:rsidRPr="005601F2">
        <w:rPr>
          <w:b/>
          <w:bCs/>
        </w:rPr>
        <w:t>Inženjeri tehnologije prometa i transporta</w:t>
      </w:r>
    </w:p>
    <w:p w14:paraId="1AB91935" w14:textId="3FE2539C" w:rsidR="00CC2E7A" w:rsidRPr="005601F2" w:rsidRDefault="00CC2E7A" w:rsidP="00E1705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01F2">
        <w:rPr>
          <w:rFonts w:ascii="Times New Roman" w:hAnsi="Times New Roman"/>
          <w:sz w:val="24"/>
          <w:szCs w:val="24"/>
        </w:rPr>
        <w:t>Inženjeri tehnologije prometa i transporta imaju pravo upisa u komoru, a ne obvezu, kako je prvotno bilo .</w:t>
      </w:r>
    </w:p>
    <w:bookmarkEnd w:id="19"/>
    <w:p w14:paraId="3DEA0383" w14:textId="77777777" w:rsidR="00CC2E7A" w:rsidRPr="001748CB" w:rsidRDefault="00CC2E7A" w:rsidP="00E1705C">
      <w:pPr>
        <w:jc w:val="both"/>
      </w:pPr>
    </w:p>
    <w:p w14:paraId="3F10BBD6" w14:textId="77777777" w:rsidR="00AB4071" w:rsidRPr="001748CB" w:rsidRDefault="00AB4071" w:rsidP="00E1705C">
      <w:pPr>
        <w:jc w:val="both"/>
        <w:rPr>
          <w:b/>
          <w:bCs/>
          <w:shd w:val="clear" w:color="auto" w:fill="FFFFFF"/>
        </w:rPr>
      </w:pPr>
      <w:bookmarkStart w:id="20" w:name="_Hlk182988563"/>
      <w:bookmarkEnd w:id="17"/>
      <w:r w:rsidRPr="001748CB">
        <w:rPr>
          <w:b/>
          <w:bCs/>
          <w:shd w:val="clear" w:color="auto" w:fill="FFFFFF"/>
        </w:rPr>
        <w:t>Privatne obrazovne i znanstvene ustanove</w:t>
      </w:r>
    </w:p>
    <w:p w14:paraId="0002C59B" w14:textId="710498FF" w:rsidR="00AB4071" w:rsidRPr="001748CB" w:rsidRDefault="001748CB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bookmarkStart w:id="21" w:name="_Hlk183417776"/>
      <w:r w:rsidRPr="001748CB">
        <w:rPr>
          <w:rFonts w:ascii="Times New Roman" w:hAnsi="Times New Roman"/>
          <w:sz w:val="24"/>
          <w:szCs w:val="24"/>
        </w:rPr>
        <w:t>Privatna visoka učilišta i privatni znanstveni instituti više ne moraju podnositi studiju o opravdanosti osnivanja studijskog programa</w:t>
      </w:r>
      <w:r w:rsidR="00AB4071" w:rsidRPr="001748CB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14:paraId="05637C04" w14:textId="39A9CAC8" w:rsidR="00AB4071" w:rsidRPr="001748CB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1748C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Privatna visoka učilišta i znanstveni instituti ne moraju ishoditi mišljenje </w:t>
      </w:r>
      <w:r w:rsidR="00CC3243" w:rsidRPr="001748C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o potrebi osnivanja od </w:t>
      </w:r>
      <w:r w:rsidRPr="001748CB">
        <w:rPr>
          <w:rFonts w:ascii="Times New Roman" w:hAnsi="Times New Roman"/>
          <w:bCs/>
          <w:sz w:val="24"/>
          <w:szCs w:val="24"/>
          <w:shd w:val="clear" w:color="auto" w:fill="FFFFFF"/>
        </w:rPr>
        <w:t>Nacionalnog vijeća za znanost, visoko obrazovanje i tehnološki razvo</w:t>
      </w:r>
      <w:r w:rsidR="00CC3243" w:rsidRPr="001748CB">
        <w:rPr>
          <w:rFonts w:ascii="Times New Roman" w:hAnsi="Times New Roman"/>
          <w:bCs/>
          <w:sz w:val="24"/>
          <w:szCs w:val="24"/>
          <w:shd w:val="clear" w:color="auto" w:fill="FFFFFF"/>
        </w:rPr>
        <w:t>j.</w:t>
      </w:r>
    </w:p>
    <w:p w14:paraId="54995B7A" w14:textId="77777777" w:rsidR="00AB4071" w:rsidRPr="001748CB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1748CB">
        <w:rPr>
          <w:rFonts w:ascii="Times New Roman" w:hAnsi="Times New Roman"/>
          <w:bCs/>
          <w:sz w:val="24"/>
          <w:szCs w:val="24"/>
          <w:shd w:val="clear" w:color="auto" w:fill="FFFFFF"/>
        </w:rPr>
        <w:t>Ukinuta je obveza ishođenja suglasnosti za osnivanje visokog učilišta i znanstvenog instituta.</w:t>
      </w:r>
    </w:p>
    <w:p w14:paraId="1A573D92" w14:textId="77777777" w:rsidR="00AB4071" w:rsidRPr="001748CB" w:rsidRDefault="00AB4071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1748CB">
        <w:rPr>
          <w:rFonts w:ascii="Times New Roman" w:hAnsi="Times New Roman"/>
          <w:bCs/>
          <w:sz w:val="24"/>
          <w:szCs w:val="24"/>
          <w:shd w:val="clear" w:color="auto" w:fill="FFFFFF"/>
        </w:rPr>
        <w:t>Ukinuta su ograničenja ili čekanje od godinu dana za pokretanje novog postupka akreditacije, ako postupak završi negativno.</w:t>
      </w:r>
    </w:p>
    <w:p w14:paraId="56CF97EB" w14:textId="7503E9A9" w:rsidR="001748CB" w:rsidRPr="001748CB" w:rsidRDefault="001748CB" w:rsidP="00E170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1748CB">
        <w:rPr>
          <w:rFonts w:ascii="Times New Roman" w:hAnsi="Times New Roman"/>
          <w:sz w:val="24"/>
          <w:szCs w:val="24"/>
        </w:rPr>
        <w:t>Omogućena je akreditacija združenog studija domaćeg i stranog visokog učilišta uz mogućnost odabira ili priznavanja inicijalne akreditacije preko druge agencije koja je upisana u Europski registar za osiguravanje kvalitete visokog obrazovanja</w:t>
      </w:r>
    </w:p>
    <w:p w14:paraId="784B9048" w14:textId="7785B2A8" w:rsidR="00410823" w:rsidRPr="001748CB" w:rsidRDefault="00AB4071" w:rsidP="004474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1748CB">
        <w:rPr>
          <w:rFonts w:ascii="Times New Roman" w:hAnsi="Times New Roman"/>
          <w:sz w:val="24"/>
          <w:szCs w:val="24"/>
        </w:rPr>
        <w:t>Za privatna visoka učilišta i privatne znanstvene institute više nema ograničenja pravnog oblika u pogledu fizičkih i pravnih osoba kao osnivača.</w:t>
      </w:r>
      <w:bookmarkEnd w:id="5"/>
      <w:bookmarkEnd w:id="6"/>
      <w:bookmarkEnd w:id="14"/>
      <w:bookmarkEnd w:id="20"/>
      <w:bookmarkEnd w:id="21"/>
    </w:p>
    <w:p w14:paraId="79629332" w14:textId="77777777" w:rsidR="00755625" w:rsidRPr="005601F2" w:rsidRDefault="00755625" w:rsidP="00E1705C">
      <w:pPr>
        <w:rPr>
          <w:bCs/>
          <w:shd w:val="clear" w:color="auto" w:fill="FFFFFF"/>
        </w:rPr>
      </w:pPr>
    </w:p>
    <w:p w14:paraId="1F19F63C" w14:textId="6D0DDF2E" w:rsidR="00F24760" w:rsidRPr="005601F2" w:rsidRDefault="002822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601F2">
        <w:rPr>
          <w:rFonts w:ascii="Times New Roman" w:hAnsi="Times New Roman"/>
          <w:b/>
          <w:bCs/>
          <w:sz w:val="24"/>
          <w:szCs w:val="24"/>
        </w:rPr>
        <w:t xml:space="preserve">Popis </w:t>
      </w:r>
      <w:r w:rsidR="006D6F18" w:rsidRPr="005601F2">
        <w:rPr>
          <w:rFonts w:ascii="Times New Roman" w:hAnsi="Times New Roman"/>
          <w:b/>
          <w:bCs/>
          <w:sz w:val="24"/>
          <w:szCs w:val="24"/>
        </w:rPr>
        <w:t>2</w:t>
      </w:r>
      <w:r w:rsidR="00915FDA" w:rsidRPr="005601F2">
        <w:rPr>
          <w:rFonts w:ascii="Times New Roman" w:hAnsi="Times New Roman"/>
          <w:b/>
          <w:bCs/>
          <w:sz w:val="24"/>
          <w:szCs w:val="24"/>
        </w:rPr>
        <w:t>1</w:t>
      </w:r>
      <w:r w:rsidR="006D6F18" w:rsidRPr="005601F2">
        <w:rPr>
          <w:rFonts w:ascii="Times New Roman" w:hAnsi="Times New Roman"/>
          <w:b/>
          <w:bCs/>
          <w:sz w:val="24"/>
          <w:szCs w:val="24"/>
        </w:rPr>
        <w:t xml:space="preserve"> planiran</w:t>
      </w:r>
      <w:r w:rsidR="00915FDA" w:rsidRPr="005601F2">
        <w:rPr>
          <w:rFonts w:ascii="Times New Roman" w:hAnsi="Times New Roman"/>
          <w:b/>
          <w:bCs/>
          <w:sz w:val="24"/>
          <w:szCs w:val="24"/>
        </w:rPr>
        <w:t>e</w:t>
      </w:r>
      <w:r w:rsidR="00605742" w:rsidRPr="005601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01F2">
        <w:rPr>
          <w:rFonts w:ascii="Times New Roman" w:hAnsi="Times New Roman"/>
          <w:b/>
          <w:bCs/>
          <w:sz w:val="24"/>
          <w:szCs w:val="24"/>
        </w:rPr>
        <w:t>mjer</w:t>
      </w:r>
      <w:bookmarkStart w:id="22" w:name="_Hlk135123144"/>
      <w:r w:rsidR="00915FDA" w:rsidRPr="005601F2">
        <w:rPr>
          <w:rFonts w:ascii="Times New Roman" w:hAnsi="Times New Roman"/>
          <w:b/>
          <w:bCs/>
          <w:sz w:val="24"/>
          <w:szCs w:val="24"/>
        </w:rPr>
        <w:t>e</w:t>
      </w:r>
      <w:r w:rsidR="006D6F18" w:rsidRPr="005601F2">
        <w:rPr>
          <w:rFonts w:ascii="Times New Roman" w:hAnsi="Times New Roman"/>
          <w:b/>
          <w:bCs/>
          <w:sz w:val="24"/>
          <w:szCs w:val="24"/>
        </w:rPr>
        <w:t xml:space="preserve"> (nastavno na već provedene mjere iz točke 4.)</w:t>
      </w:r>
    </w:p>
    <w:p w14:paraId="3A92AA7E" w14:textId="77777777" w:rsidR="00410823" w:rsidRPr="005601F2" w:rsidRDefault="00410823" w:rsidP="00410823">
      <w:pPr>
        <w:jc w:val="both"/>
        <w:rPr>
          <w:b/>
          <w:bCs/>
        </w:rPr>
      </w:pPr>
    </w:p>
    <w:p w14:paraId="670C1D04" w14:textId="3B49479B" w:rsidR="00A50CD6" w:rsidRPr="00A6132D" w:rsidRDefault="00A50CD6" w:rsidP="00A50CD6">
      <w:pPr>
        <w:jc w:val="both"/>
        <w:rPr>
          <w:rFonts w:eastAsia="Arial Unicode MS"/>
          <w:b/>
          <w:bCs/>
          <w:noProof/>
          <w:u w:color="434343"/>
          <w:bdr w:val="nil"/>
          <w:lang w:val="pl-PL" w:eastAsia="en-GB"/>
        </w:rPr>
      </w:pPr>
      <w:r w:rsidRPr="00A6132D">
        <w:rPr>
          <w:rFonts w:eastAsia="Arial Unicode MS"/>
          <w:b/>
          <w:bCs/>
          <w:noProof/>
          <w:u w:color="434343"/>
          <w:bdr w:val="nil"/>
          <w:lang w:val="pl-PL" w:eastAsia="en-GB"/>
        </w:rPr>
        <w:t>Nastavno na navedeni rezultat reforme,</w:t>
      </w:r>
      <w:r w:rsidRPr="00A6132D">
        <w:rPr>
          <w:rFonts w:eastAsia="Arial Unicode MS"/>
          <w:bCs/>
          <w:noProof/>
          <w:u w:color="434343"/>
          <w:bdr w:val="nil"/>
          <w:lang w:val="pl-PL" w:eastAsia="en-GB"/>
        </w:rPr>
        <w:t xml:space="preserve"> </w:t>
      </w:r>
      <w:r w:rsidRPr="00A6132D">
        <w:rPr>
          <w:rFonts w:eastAsia="Arial Unicode MS"/>
          <w:b/>
          <w:bCs/>
          <w:noProof/>
          <w:u w:color="434343"/>
          <w:bdr w:val="nil"/>
          <w:lang w:val="pl-PL" w:eastAsia="en-GB"/>
        </w:rPr>
        <w:t xml:space="preserve">planira se provedba dodatne 21 mjere tijekom 2025. Time će do kraja 2025. ukupan broj provedenih mjera liberalizacije tržišta usluga biti barem 330. </w:t>
      </w:r>
      <w:r w:rsidRPr="00A6132D">
        <w:rPr>
          <w:bCs/>
          <w:noProof/>
          <w:lang w:val="pl-PL"/>
        </w:rPr>
        <w:t xml:space="preserve">Mjere nemaju fiskalni učinak, a odnose se na odvjetnike, javne bilježnike, ljekarne i </w:t>
      </w:r>
      <w:r w:rsidRPr="00A6132D">
        <w:rPr>
          <w:lang w:val="pl-PL"/>
        </w:rPr>
        <w:t>farmaceut</w:t>
      </w:r>
      <w:r w:rsidR="00E751D9">
        <w:rPr>
          <w:lang w:val="pl-PL"/>
        </w:rPr>
        <w:t>e</w:t>
      </w:r>
      <w:r w:rsidRPr="00A6132D">
        <w:rPr>
          <w:lang w:val="pl-PL"/>
        </w:rPr>
        <w:t xml:space="preserve">, prvostupnike fizioterapije, fizioterapeutske tehničare, </w:t>
      </w:r>
      <w:r w:rsidRPr="00A6132D">
        <w:rPr>
          <w:bCs/>
          <w:noProof/>
          <w:lang w:val="pl-PL"/>
        </w:rPr>
        <w:t xml:space="preserve">primalje, </w:t>
      </w:r>
      <w:r w:rsidRPr="00A6132D">
        <w:rPr>
          <w:lang w:val="pl-PL"/>
        </w:rPr>
        <w:t>prvostupnike medicinsko-laboratorijske dijagnostike</w:t>
      </w:r>
      <w:r w:rsidRPr="00A6132D">
        <w:rPr>
          <w:bCs/>
          <w:noProof/>
          <w:lang w:val="pl-PL"/>
        </w:rPr>
        <w:t xml:space="preserve">, zdravstveno-laboratorijske tehničare, sanitarne inženjere i sanitarne tehničare, prvostupnike radiološke tehnologije, dentalne tehničare i dentalne asistente te prvostupnike radne terapije, arhitekte, inženjere (graditeljstva, strojarstva i elektrotehnike), voditelje turističkih agencija, </w:t>
      </w:r>
      <w:r w:rsidR="00341A2B" w:rsidRPr="00341A2B">
        <w:rPr>
          <w:bCs/>
          <w:noProof/>
          <w:lang w:val="pl-PL"/>
        </w:rPr>
        <w:t xml:space="preserve">turističke vodiče, </w:t>
      </w:r>
      <w:r w:rsidRPr="00A6132D">
        <w:rPr>
          <w:bCs/>
          <w:noProof/>
          <w:lang w:val="pl-PL"/>
        </w:rPr>
        <w:t>psihologe, socijalne pedagoge, socijalne radnike i edukacijske rehabilitatore.</w:t>
      </w:r>
    </w:p>
    <w:p w14:paraId="56C222BB" w14:textId="77777777" w:rsidR="00A50CD6" w:rsidRPr="00A6132D" w:rsidRDefault="00A50CD6" w:rsidP="00A50CD6">
      <w:pPr>
        <w:pStyle w:val="Default"/>
        <w:spacing w:after="0" w:line="240" w:lineRule="auto"/>
        <w:jc w:val="both"/>
        <w:rPr>
          <w:rFonts w:ascii="Times New Roman" w:hAnsi="Times New Roman" w:cs="Times New Roman"/>
          <w:bCs/>
          <w:noProof/>
          <w:color w:val="auto"/>
          <w:lang w:val="pl-PL"/>
        </w:rPr>
      </w:pPr>
    </w:p>
    <w:p w14:paraId="70BB3892" w14:textId="77777777" w:rsidR="00A50CD6" w:rsidRPr="00A6132D" w:rsidRDefault="00A50CD6" w:rsidP="00A50CD6">
      <w:pPr>
        <w:jc w:val="both"/>
        <w:rPr>
          <w:rFonts w:eastAsia="Arial Unicode MS"/>
          <w:bCs/>
          <w:noProof/>
          <w:u w:color="434343"/>
          <w:bdr w:val="nil"/>
          <w:lang w:val="pl-PL" w:eastAsia="en-GB"/>
        </w:rPr>
      </w:pPr>
      <w:bookmarkStart w:id="23" w:name="_Hlk194302426"/>
      <w:r w:rsidRPr="00A6132D">
        <w:rPr>
          <w:rFonts w:eastAsia="Arial Unicode MS"/>
          <w:bCs/>
          <w:noProof/>
          <w:u w:color="434343"/>
          <w:bdr w:val="nil"/>
          <w:lang w:val="pl-PL" w:eastAsia="en-GB"/>
        </w:rPr>
        <w:t xml:space="preserve">21 mjera odnosi se na sljedeće kategorije ukidanja ili pojednostavljenja regulatornih zahtjeva, nastavno na već ranije provedene mjere u navedenim profesijama: ukidanje pripravničkog staža i stručnog ispita kod zdravstvenih profesija – 10 mjera; omogućavanje internetske prodaje bezreceptnih lijekova putem ljekarni – 1 mjera; otvaranje mogućnosti pružanja usluga odvjetnicima i turističkim vodičima iz država pristupnica OECD-ovog Kodeksa o liberalizaciji – 2 mjere; </w:t>
      </w:r>
      <w:r w:rsidRPr="00A6132D">
        <w:rPr>
          <w:rFonts w:eastAsia="Arial Unicode MS"/>
          <w:bCs/>
          <w:noProof/>
          <w:u w:color="434343"/>
          <w:bdr w:val="nil"/>
          <w:lang w:eastAsia="en-GB"/>
        </w:rPr>
        <w:t xml:space="preserve">proširenje obveznog radnog vremena javnih bilježnika za primanje stranaka – 1 mjera; </w:t>
      </w:r>
      <w:r w:rsidRPr="00A6132D">
        <w:rPr>
          <w:rFonts w:eastAsia="Arial Unicode MS"/>
          <w:bCs/>
          <w:noProof/>
          <w:u w:color="434343"/>
          <w:bdr w:val="nil"/>
          <w:lang w:val="pl-PL" w:eastAsia="en-GB"/>
        </w:rPr>
        <w:t>pojednostavljenje i digitalizacija prijave stručnog ispita za voditelje poslova turističkih agencija, arhitekte i inženjere – 3 mjere; ukidanje obveze dostave dokaza o nekažnjavanju za edukacijske rehabilitatore, socijalne pedagoge, socijalne radnike i psihologe – 4 mjere</w:t>
      </w:r>
      <w:bookmarkEnd w:id="23"/>
      <w:r w:rsidRPr="00A6132D">
        <w:rPr>
          <w:rFonts w:eastAsia="Arial Unicode MS"/>
          <w:bCs/>
          <w:noProof/>
          <w:u w:color="434343"/>
          <w:bdr w:val="nil"/>
          <w:lang w:val="pl-PL" w:eastAsia="en-GB"/>
        </w:rPr>
        <w:t>.</w:t>
      </w:r>
    </w:p>
    <w:p w14:paraId="47B3FFBF" w14:textId="3EEB521A" w:rsidR="00BF444D" w:rsidRPr="00A50CD6" w:rsidRDefault="00BF444D" w:rsidP="005601F2">
      <w:pPr>
        <w:rPr>
          <w:rFonts w:ascii="Calibri" w:eastAsia="Calibri" w:hAnsi="Calibri"/>
          <w:sz w:val="22"/>
          <w:szCs w:val="22"/>
          <w:lang w:val="pl-PL" w:eastAsia="en-US"/>
        </w:rPr>
      </w:pPr>
    </w:p>
    <w:tbl>
      <w:tblPr>
        <w:tblW w:w="52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412"/>
        <w:gridCol w:w="2700"/>
        <w:gridCol w:w="899"/>
        <w:gridCol w:w="1260"/>
        <w:gridCol w:w="3871"/>
        <w:gridCol w:w="2319"/>
      </w:tblGrid>
      <w:tr w:rsidR="00AD5DEE" w:rsidRPr="005601F2" w14:paraId="6180A1CC" w14:textId="77777777" w:rsidTr="003B4314">
        <w:trPr>
          <w:trHeight w:val="341"/>
          <w:jc w:val="center"/>
        </w:trPr>
        <w:tc>
          <w:tcPr>
            <w:tcW w:w="167" w:type="pct"/>
            <w:shd w:val="clear" w:color="auto" w:fill="1F497D" w:themeFill="text2"/>
            <w:vAlign w:val="center"/>
          </w:tcPr>
          <w:bookmarkEnd w:id="22"/>
          <w:p w14:paraId="331007A9" w14:textId="26EF6599" w:rsidR="0094585B" w:rsidRPr="005601F2" w:rsidRDefault="0094585B" w:rsidP="0094585B">
            <w:pPr>
              <w:jc w:val="center"/>
              <w:rPr>
                <w:b/>
                <w:color w:val="FFFFFF" w:themeColor="background1"/>
              </w:rPr>
            </w:pPr>
            <w:r w:rsidRPr="005601F2">
              <w:rPr>
                <w:b/>
                <w:color w:val="FFFFFF" w:themeColor="background1"/>
              </w:rPr>
              <w:t>Br</w:t>
            </w:r>
          </w:p>
        </w:tc>
        <w:tc>
          <w:tcPr>
            <w:tcW w:w="1379" w:type="pct"/>
            <w:shd w:val="clear" w:color="auto" w:fill="1F497D" w:themeFill="text2"/>
            <w:vAlign w:val="center"/>
          </w:tcPr>
          <w:p w14:paraId="0902A428" w14:textId="77777777" w:rsidR="0094585B" w:rsidRPr="005601F2" w:rsidRDefault="0094585B" w:rsidP="0094585B">
            <w:pPr>
              <w:jc w:val="center"/>
              <w:rPr>
                <w:b/>
                <w:color w:val="FFFFFF" w:themeColor="background1"/>
              </w:rPr>
            </w:pPr>
            <w:bookmarkStart w:id="24" w:name="_Hlk530952957"/>
            <w:r w:rsidRPr="005601F2">
              <w:rPr>
                <w:b/>
                <w:color w:val="FFFFFF" w:themeColor="background1"/>
              </w:rPr>
              <w:t>Mjera</w:t>
            </w:r>
          </w:p>
        </w:tc>
        <w:tc>
          <w:tcPr>
            <w:tcW w:w="844" w:type="pct"/>
            <w:shd w:val="clear" w:color="auto" w:fill="1F497D" w:themeFill="text2"/>
            <w:vAlign w:val="center"/>
          </w:tcPr>
          <w:p w14:paraId="58B9BE6E" w14:textId="5EE79827" w:rsidR="0094585B" w:rsidRPr="005601F2" w:rsidRDefault="0094585B" w:rsidP="0094585B">
            <w:pPr>
              <w:jc w:val="center"/>
              <w:rPr>
                <w:b/>
                <w:color w:val="FFFFFF" w:themeColor="background1"/>
              </w:rPr>
            </w:pPr>
            <w:r w:rsidRPr="005601F2">
              <w:rPr>
                <w:b/>
                <w:color w:val="FFFFFF" w:themeColor="background1"/>
              </w:rPr>
              <w:t>Nadležno tijelo</w:t>
            </w:r>
          </w:p>
        </w:tc>
        <w:tc>
          <w:tcPr>
            <w:tcW w:w="281" w:type="pct"/>
            <w:shd w:val="clear" w:color="auto" w:fill="1F497D" w:themeFill="text2"/>
            <w:vAlign w:val="center"/>
          </w:tcPr>
          <w:p w14:paraId="68CB64CA" w14:textId="2E2CFD65" w:rsidR="0094585B" w:rsidRPr="005601F2" w:rsidRDefault="0094585B" w:rsidP="0094585B">
            <w:pPr>
              <w:jc w:val="center"/>
              <w:rPr>
                <w:b/>
                <w:color w:val="FFFFFF" w:themeColor="background1"/>
              </w:rPr>
            </w:pPr>
            <w:r w:rsidRPr="005601F2">
              <w:rPr>
                <w:b/>
                <w:color w:val="FFFFFF" w:themeColor="background1"/>
              </w:rPr>
              <w:t>Rok</w:t>
            </w:r>
          </w:p>
        </w:tc>
        <w:tc>
          <w:tcPr>
            <w:tcW w:w="394" w:type="pct"/>
            <w:shd w:val="clear" w:color="auto" w:fill="1F497D" w:themeFill="text2"/>
            <w:vAlign w:val="center"/>
          </w:tcPr>
          <w:p w14:paraId="5DE689A0" w14:textId="761AB5F8" w:rsidR="0094585B" w:rsidRPr="005601F2" w:rsidRDefault="0094585B" w:rsidP="0094585B">
            <w:pPr>
              <w:jc w:val="center"/>
              <w:rPr>
                <w:b/>
                <w:color w:val="FFFFFF" w:themeColor="background1"/>
              </w:rPr>
            </w:pPr>
            <w:r w:rsidRPr="005601F2">
              <w:rPr>
                <w:b/>
                <w:color w:val="FFFFFF" w:themeColor="background1"/>
              </w:rPr>
              <w:t>Referenca</w:t>
            </w:r>
          </w:p>
        </w:tc>
        <w:tc>
          <w:tcPr>
            <w:tcW w:w="1210" w:type="pct"/>
            <w:shd w:val="clear" w:color="auto" w:fill="1F497D" w:themeFill="text2"/>
          </w:tcPr>
          <w:p w14:paraId="33CEB057" w14:textId="53B6C4FE" w:rsidR="0094585B" w:rsidRPr="005601F2" w:rsidRDefault="0094585B" w:rsidP="003B4314">
            <w:pPr>
              <w:jc w:val="center"/>
              <w:rPr>
                <w:b/>
                <w:color w:val="FFFFFF" w:themeColor="background1"/>
              </w:rPr>
            </w:pPr>
            <w:r w:rsidRPr="005601F2">
              <w:rPr>
                <w:b/>
                <w:color w:val="FFFFFF" w:themeColor="background1"/>
              </w:rPr>
              <w:t>Osnova</w:t>
            </w:r>
          </w:p>
        </w:tc>
        <w:tc>
          <w:tcPr>
            <w:tcW w:w="725" w:type="pct"/>
            <w:shd w:val="clear" w:color="auto" w:fill="1F497D" w:themeFill="text2"/>
          </w:tcPr>
          <w:p w14:paraId="1B4FDA91" w14:textId="73BECAD4" w:rsidR="0094585B" w:rsidRPr="005601F2" w:rsidRDefault="0094585B" w:rsidP="003B4314">
            <w:pPr>
              <w:jc w:val="center"/>
              <w:rPr>
                <w:b/>
                <w:color w:val="FFFFFF" w:themeColor="background1"/>
              </w:rPr>
            </w:pPr>
            <w:r w:rsidRPr="005601F2">
              <w:rPr>
                <w:b/>
                <w:color w:val="FFFFFF" w:themeColor="background1"/>
              </w:rPr>
              <w:t>Učinak</w:t>
            </w:r>
          </w:p>
        </w:tc>
      </w:tr>
      <w:bookmarkEnd w:id="24"/>
      <w:tr w:rsidR="00AD5DEE" w:rsidRPr="005601F2" w14:paraId="5D3D22A6" w14:textId="77777777" w:rsidTr="00AD5DEE">
        <w:trPr>
          <w:trHeight w:val="251"/>
          <w:jc w:val="center"/>
        </w:trPr>
        <w:tc>
          <w:tcPr>
            <w:tcW w:w="167" w:type="pct"/>
            <w:shd w:val="clear" w:color="auto" w:fill="1F497D" w:themeFill="text2"/>
            <w:vAlign w:val="center"/>
          </w:tcPr>
          <w:p w14:paraId="191A349F" w14:textId="77777777" w:rsidR="0094585B" w:rsidRPr="005601F2" w:rsidRDefault="0094585B" w:rsidP="0094585B">
            <w:pPr>
              <w:rPr>
                <w:b/>
                <w:color w:val="FFFFFF" w:themeColor="background1"/>
              </w:rPr>
            </w:pPr>
          </w:p>
        </w:tc>
        <w:tc>
          <w:tcPr>
            <w:tcW w:w="1379" w:type="pct"/>
            <w:shd w:val="clear" w:color="auto" w:fill="1F497D" w:themeFill="text2"/>
            <w:vAlign w:val="center"/>
          </w:tcPr>
          <w:p w14:paraId="1D6173A2" w14:textId="28307EAA" w:rsidR="0094585B" w:rsidRPr="005601F2" w:rsidRDefault="0094585B" w:rsidP="0094585B">
            <w:pPr>
              <w:rPr>
                <w:b/>
                <w:color w:val="FFFFFF" w:themeColor="background1"/>
              </w:rPr>
            </w:pPr>
            <w:r w:rsidRPr="005601F2">
              <w:rPr>
                <w:b/>
                <w:color w:val="FFFFFF" w:themeColor="background1"/>
              </w:rPr>
              <w:t xml:space="preserve">Ljekarne </w:t>
            </w:r>
            <w:r w:rsidR="004C6947">
              <w:rPr>
                <w:b/>
                <w:color w:val="FFFFFF" w:themeColor="background1"/>
              </w:rPr>
              <w:t>i</w:t>
            </w:r>
            <w:r w:rsidRPr="005601F2">
              <w:rPr>
                <w:b/>
                <w:color w:val="FFFFFF" w:themeColor="background1"/>
              </w:rPr>
              <w:t xml:space="preserve"> farmaceut</w:t>
            </w:r>
            <w:r w:rsidR="00A50CD6">
              <w:rPr>
                <w:b/>
                <w:color w:val="FFFFFF" w:themeColor="background1"/>
              </w:rPr>
              <w:t>i</w:t>
            </w:r>
          </w:p>
        </w:tc>
        <w:tc>
          <w:tcPr>
            <w:tcW w:w="844" w:type="pct"/>
            <w:shd w:val="clear" w:color="auto" w:fill="1F497D" w:themeFill="text2"/>
            <w:vAlign w:val="center"/>
          </w:tcPr>
          <w:p w14:paraId="3E9DC659" w14:textId="77777777" w:rsidR="0094585B" w:rsidRPr="005601F2" w:rsidRDefault="0094585B" w:rsidP="0094585B">
            <w:pPr>
              <w:rPr>
                <w:b/>
                <w:color w:val="FFFFFF" w:themeColor="background1"/>
              </w:rPr>
            </w:pPr>
          </w:p>
        </w:tc>
        <w:tc>
          <w:tcPr>
            <w:tcW w:w="281" w:type="pct"/>
            <w:shd w:val="clear" w:color="auto" w:fill="1F497D" w:themeFill="text2"/>
            <w:vAlign w:val="center"/>
          </w:tcPr>
          <w:p w14:paraId="45CF1C86" w14:textId="77777777" w:rsidR="0094585B" w:rsidRPr="005601F2" w:rsidRDefault="0094585B" w:rsidP="0094585B">
            <w:pPr>
              <w:rPr>
                <w:b/>
                <w:color w:val="FFFFFF" w:themeColor="background1"/>
              </w:rPr>
            </w:pPr>
          </w:p>
        </w:tc>
        <w:tc>
          <w:tcPr>
            <w:tcW w:w="394" w:type="pct"/>
            <w:shd w:val="clear" w:color="auto" w:fill="1F497D" w:themeFill="text2"/>
          </w:tcPr>
          <w:p w14:paraId="35861281" w14:textId="77777777" w:rsidR="0094585B" w:rsidRPr="005601F2" w:rsidRDefault="0094585B" w:rsidP="0094585B">
            <w:pPr>
              <w:rPr>
                <w:b/>
                <w:color w:val="FFFFFF" w:themeColor="background1"/>
              </w:rPr>
            </w:pPr>
          </w:p>
        </w:tc>
        <w:tc>
          <w:tcPr>
            <w:tcW w:w="1210" w:type="pct"/>
            <w:shd w:val="clear" w:color="auto" w:fill="1F497D" w:themeFill="text2"/>
          </w:tcPr>
          <w:p w14:paraId="73809FD3" w14:textId="2C7F0216" w:rsidR="0094585B" w:rsidRPr="005601F2" w:rsidRDefault="0094585B" w:rsidP="0094585B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725" w:type="pct"/>
            <w:shd w:val="clear" w:color="auto" w:fill="1F497D" w:themeFill="text2"/>
          </w:tcPr>
          <w:p w14:paraId="28804E00" w14:textId="77777777" w:rsidR="0094585B" w:rsidRPr="005601F2" w:rsidRDefault="0094585B" w:rsidP="0094585B">
            <w:pPr>
              <w:rPr>
                <w:b/>
                <w:color w:val="FFFFFF" w:themeColor="background1"/>
              </w:rPr>
            </w:pPr>
          </w:p>
        </w:tc>
      </w:tr>
      <w:tr w:rsidR="00AD5DEE" w:rsidRPr="005601F2" w14:paraId="6E990A50" w14:textId="77777777" w:rsidTr="00AD5DEE">
        <w:trPr>
          <w:trHeight w:val="521"/>
          <w:jc w:val="center"/>
        </w:trPr>
        <w:tc>
          <w:tcPr>
            <w:tcW w:w="167" w:type="pct"/>
            <w:vAlign w:val="center"/>
          </w:tcPr>
          <w:p w14:paraId="5CEBACD7" w14:textId="5468F56A" w:rsidR="0094585B" w:rsidRPr="005601F2" w:rsidRDefault="0094585B" w:rsidP="0094585B">
            <w:pPr>
              <w:tabs>
                <w:tab w:val="left" w:pos="360"/>
              </w:tabs>
            </w:pPr>
            <w:r w:rsidRPr="005601F2">
              <w:t>1.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8528A6C" w14:textId="35F7B514" w:rsidR="0094585B" w:rsidRPr="005601F2" w:rsidRDefault="0094585B" w:rsidP="0094585B">
            <w:r w:rsidRPr="005601F2">
              <w:t>Omogućiti internetsku prodaju bezreceptnih lijekova putem ljekarni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12E46F9D" w14:textId="7AEA8F9D" w:rsidR="0094585B" w:rsidRPr="005601F2" w:rsidRDefault="0094585B" w:rsidP="0094585B">
            <w:r w:rsidRPr="005601F2">
              <w:t>Ministarstvo zdravstva (MIZ)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46A49CE" w14:textId="13946197" w:rsidR="0094585B" w:rsidRPr="005601F2" w:rsidRDefault="0094585B" w:rsidP="0094585B">
            <w:r w:rsidRPr="005601F2">
              <w:t>Q2/25</w:t>
            </w:r>
          </w:p>
        </w:tc>
        <w:tc>
          <w:tcPr>
            <w:tcW w:w="394" w:type="pct"/>
          </w:tcPr>
          <w:p w14:paraId="43DA58A8" w14:textId="77777777" w:rsidR="0094585B" w:rsidRPr="005601F2" w:rsidRDefault="0094585B" w:rsidP="0094585B"/>
          <w:p w14:paraId="536AECCE" w14:textId="577F4BDD" w:rsidR="0094585B" w:rsidRPr="005601F2" w:rsidRDefault="0094585B" w:rsidP="0094585B">
            <w:r w:rsidRPr="005601F2">
              <w:t>Svjetska banka</w:t>
            </w:r>
          </w:p>
        </w:tc>
        <w:tc>
          <w:tcPr>
            <w:tcW w:w="1210" w:type="pct"/>
          </w:tcPr>
          <w:p w14:paraId="0361C37D" w14:textId="735407DC" w:rsidR="0094585B" w:rsidRPr="005601F2" w:rsidRDefault="0094585B" w:rsidP="0094585B">
            <w:pPr>
              <w:jc w:val="both"/>
            </w:pPr>
            <w:r w:rsidRPr="005601F2">
              <w:t>Pravilnik o uvjetima za promet lijekova na malo na daljinu putem Interneta</w:t>
            </w:r>
          </w:p>
        </w:tc>
        <w:tc>
          <w:tcPr>
            <w:tcW w:w="725" w:type="pct"/>
          </w:tcPr>
          <w:p w14:paraId="58953181" w14:textId="36C539E8" w:rsidR="0094585B" w:rsidRPr="005601F2" w:rsidRDefault="0094585B" w:rsidP="0094585B">
            <w:r w:rsidRPr="005601F2">
              <w:t xml:space="preserve">Bezreceptni lijekovi moći će se kupovati bez odlaska u ljekarnu </w:t>
            </w:r>
          </w:p>
        </w:tc>
      </w:tr>
      <w:tr w:rsidR="00AD5DEE" w:rsidRPr="005601F2" w14:paraId="5D18CBE7" w14:textId="77777777" w:rsidTr="00AD5DEE">
        <w:trPr>
          <w:trHeight w:val="922"/>
          <w:jc w:val="center"/>
        </w:trPr>
        <w:tc>
          <w:tcPr>
            <w:tcW w:w="167" w:type="pct"/>
            <w:vAlign w:val="center"/>
          </w:tcPr>
          <w:p w14:paraId="002D80D9" w14:textId="599BBFAB" w:rsidR="0094585B" w:rsidRPr="005601F2" w:rsidRDefault="0094585B" w:rsidP="0094585B">
            <w:pPr>
              <w:tabs>
                <w:tab w:val="left" w:pos="360"/>
              </w:tabs>
            </w:pPr>
            <w:bookmarkStart w:id="25" w:name="_Hlk178585343"/>
            <w:r w:rsidRPr="005601F2">
              <w:t>2.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CB4B9F4" w14:textId="3F40F70A" w:rsidR="0094585B" w:rsidRPr="005601F2" w:rsidRDefault="0094585B" w:rsidP="0094585B">
            <w:r w:rsidRPr="005601F2">
              <w:t>Ukinuti pripravnički staž i stručni ispit za farmaceutske tehničare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2D02EAE8" w14:textId="27C0650A" w:rsidR="0094585B" w:rsidRPr="005601F2" w:rsidRDefault="0094585B" w:rsidP="0094585B">
            <w:r w:rsidRPr="005601F2">
              <w:t>Ministarstvo zdravstva (MIZ)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ED26E79" w14:textId="5780307A" w:rsidR="0094585B" w:rsidRPr="005601F2" w:rsidRDefault="0094585B" w:rsidP="0094585B">
            <w:r w:rsidRPr="005601F2">
              <w:t>Q2/25</w:t>
            </w:r>
          </w:p>
        </w:tc>
        <w:tc>
          <w:tcPr>
            <w:tcW w:w="394" w:type="pct"/>
          </w:tcPr>
          <w:p w14:paraId="124F3DF5" w14:textId="77777777" w:rsidR="0094585B" w:rsidRPr="005601F2" w:rsidRDefault="0094585B" w:rsidP="0094585B"/>
          <w:p w14:paraId="0C1ABCCD" w14:textId="5E237BBF" w:rsidR="0094585B" w:rsidRPr="005601F2" w:rsidRDefault="0094585B" w:rsidP="0094585B">
            <w:r w:rsidRPr="005601F2">
              <w:t>Svjetska banka</w:t>
            </w:r>
          </w:p>
        </w:tc>
        <w:tc>
          <w:tcPr>
            <w:tcW w:w="1210" w:type="pct"/>
          </w:tcPr>
          <w:p w14:paraId="58C53B72" w14:textId="50D595AC" w:rsidR="0094585B" w:rsidRPr="005601F2" w:rsidRDefault="0094585B" w:rsidP="0094585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2">
              <w:rPr>
                <w:rFonts w:ascii="Times New Roman" w:hAnsi="Times New Roman" w:cs="Times New Roman"/>
                <w:sz w:val="24"/>
                <w:szCs w:val="24"/>
              </w:rPr>
              <w:t>Zakon o zdravstvenoj zaštiti (Čl</w:t>
            </w:r>
            <w:r w:rsidR="003B4314" w:rsidRPr="00560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1F2">
              <w:rPr>
                <w:rFonts w:ascii="Times New Roman" w:hAnsi="Times New Roman" w:cs="Times New Roman"/>
                <w:sz w:val="24"/>
                <w:szCs w:val="24"/>
              </w:rPr>
              <w:t xml:space="preserve"> 168.)</w:t>
            </w:r>
          </w:p>
          <w:p w14:paraId="5357EE8A" w14:textId="26B3B49D" w:rsidR="0094585B" w:rsidRPr="005601F2" w:rsidRDefault="0094585B" w:rsidP="0094585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5" w:type="pct"/>
          </w:tcPr>
          <w:p w14:paraId="6F66FD85" w14:textId="15E6FBA8" w:rsidR="0094585B" w:rsidRPr="005601F2" w:rsidRDefault="0094585B" w:rsidP="0094585B">
            <w:r w:rsidRPr="005601F2">
              <w:t>Skratit će se vrijeme za dobivanje licence</w:t>
            </w:r>
          </w:p>
        </w:tc>
      </w:tr>
      <w:tr w:rsidR="00AD5DEE" w:rsidRPr="005601F2" w14:paraId="04AB3E8A" w14:textId="77777777" w:rsidTr="00AD5DEE">
        <w:trPr>
          <w:trHeight w:val="251"/>
          <w:jc w:val="center"/>
        </w:trPr>
        <w:tc>
          <w:tcPr>
            <w:tcW w:w="167" w:type="pct"/>
            <w:shd w:val="clear" w:color="auto" w:fill="1F497D" w:themeFill="text2"/>
            <w:vAlign w:val="center"/>
          </w:tcPr>
          <w:p w14:paraId="49868AD6" w14:textId="77777777" w:rsidR="0094585B" w:rsidRPr="005601F2" w:rsidRDefault="0094585B" w:rsidP="0094585B">
            <w:pPr>
              <w:rPr>
                <w:b/>
                <w:color w:val="FFFFFF" w:themeColor="background1"/>
              </w:rPr>
            </w:pPr>
          </w:p>
        </w:tc>
        <w:tc>
          <w:tcPr>
            <w:tcW w:w="1379" w:type="pct"/>
            <w:shd w:val="clear" w:color="auto" w:fill="1F497D" w:themeFill="text2"/>
            <w:vAlign w:val="center"/>
          </w:tcPr>
          <w:p w14:paraId="49890318" w14:textId="535FFB60" w:rsidR="0094585B" w:rsidRPr="005601F2" w:rsidRDefault="0094585B" w:rsidP="0094585B">
            <w:pPr>
              <w:rPr>
                <w:b/>
                <w:color w:val="FFFFFF" w:themeColor="background1"/>
              </w:rPr>
            </w:pPr>
            <w:r w:rsidRPr="005601F2">
              <w:rPr>
                <w:b/>
                <w:color w:val="FFFFFF" w:themeColor="background1"/>
              </w:rPr>
              <w:t xml:space="preserve">Fizioterapeuti </w:t>
            </w:r>
          </w:p>
        </w:tc>
        <w:tc>
          <w:tcPr>
            <w:tcW w:w="844" w:type="pct"/>
            <w:shd w:val="clear" w:color="auto" w:fill="1F497D" w:themeFill="text2"/>
            <w:vAlign w:val="center"/>
          </w:tcPr>
          <w:p w14:paraId="284887E9" w14:textId="77777777" w:rsidR="0094585B" w:rsidRPr="005601F2" w:rsidRDefault="0094585B" w:rsidP="0094585B">
            <w:pPr>
              <w:rPr>
                <w:b/>
                <w:color w:val="FFFFFF" w:themeColor="background1"/>
              </w:rPr>
            </w:pPr>
          </w:p>
        </w:tc>
        <w:tc>
          <w:tcPr>
            <w:tcW w:w="281" w:type="pct"/>
            <w:shd w:val="clear" w:color="auto" w:fill="1F497D" w:themeFill="text2"/>
            <w:vAlign w:val="center"/>
          </w:tcPr>
          <w:p w14:paraId="0192C778" w14:textId="77777777" w:rsidR="0094585B" w:rsidRPr="005601F2" w:rsidRDefault="0094585B" w:rsidP="0094585B">
            <w:pPr>
              <w:rPr>
                <w:b/>
                <w:color w:val="FFFFFF" w:themeColor="background1"/>
              </w:rPr>
            </w:pPr>
          </w:p>
        </w:tc>
        <w:tc>
          <w:tcPr>
            <w:tcW w:w="394" w:type="pct"/>
            <w:shd w:val="clear" w:color="auto" w:fill="1F497D" w:themeFill="text2"/>
          </w:tcPr>
          <w:p w14:paraId="76FB078E" w14:textId="77777777" w:rsidR="0094585B" w:rsidRPr="005601F2" w:rsidRDefault="0094585B" w:rsidP="0094585B">
            <w:pPr>
              <w:rPr>
                <w:b/>
                <w:color w:val="FFFFFF" w:themeColor="background1"/>
              </w:rPr>
            </w:pPr>
          </w:p>
        </w:tc>
        <w:tc>
          <w:tcPr>
            <w:tcW w:w="1210" w:type="pct"/>
            <w:shd w:val="clear" w:color="auto" w:fill="1F497D" w:themeFill="text2"/>
          </w:tcPr>
          <w:p w14:paraId="175DBEF0" w14:textId="134E0512" w:rsidR="0094585B" w:rsidRPr="005601F2" w:rsidRDefault="0094585B" w:rsidP="0094585B">
            <w:pPr>
              <w:jc w:val="both"/>
              <w:rPr>
                <w:b/>
              </w:rPr>
            </w:pPr>
          </w:p>
        </w:tc>
        <w:tc>
          <w:tcPr>
            <w:tcW w:w="725" w:type="pct"/>
            <w:shd w:val="clear" w:color="auto" w:fill="1F497D" w:themeFill="text2"/>
          </w:tcPr>
          <w:p w14:paraId="0272AEDE" w14:textId="77777777" w:rsidR="0094585B" w:rsidRPr="005601F2" w:rsidRDefault="0094585B" w:rsidP="0094585B">
            <w:pPr>
              <w:rPr>
                <w:b/>
                <w:color w:val="FFFFFF" w:themeColor="background1"/>
              </w:rPr>
            </w:pPr>
          </w:p>
        </w:tc>
      </w:tr>
      <w:tr w:rsidR="00AD5DEE" w:rsidRPr="005601F2" w14:paraId="3E87CE76" w14:textId="77777777" w:rsidTr="00AD5DEE">
        <w:trPr>
          <w:trHeight w:val="620"/>
          <w:jc w:val="center"/>
        </w:trPr>
        <w:tc>
          <w:tcPr>
            <w:tcW w:w="167" w:type="pct"/>
            <w:vAlign w:val="center"/>
          </w:tcPr>
          <w:p w14:paraId="3F26105B" w14:textId="4177B680" w:rsidR="0094585B" w:rsidRPr="005601F2" w:rsidRDefault="0094585B" w:rsidP="0094585B">
            <w:pPr>
              <w:tabs>
                <w:tab w:val="left" w:pos="360"/>
              </w:tabs>
            </w:pPr>
            <w:r w:rsidRPr="005601F2">
              <w:t>3.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24E584A" w14:textId="236C1013" w:rsidR="0094585B" w:rsidRPr="005601F2" w:rsidRDefault="0094585B" w:rsidP="0094585B">
            <w:pPr>
              <w:contextualSpacing/>
            </w:pPr>
            <w:r w:rsidRPr="005601F2">
              <w:t>Ukinuti pripravnički staž i stručni ispit za prvostupnike fizioterapije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1AD31FE2" w14:textId="61FAD5C8" w:rsidR="0094585B" w:rsidRPr="005601F2" w:rsidRDefault="0094585B" w:rsidP="0094585B">
            <w:r w:rsidRPr="005601F2">
              <w:t>Ministarstvo zdravstva (MIZ)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636A109" w14:textId="3BCA35D6" w:rsidR="0094585B" w:rsidRPr="005601F2" w:rsidRDefault="0094585B" w:rsidP="0094585B">
            <w:r w:rsidRPr="005601F2">
              <w:t>Q2/25</w:t>
            </w:r>
          </w:p>
        </w:tc>
        <w:tc>
          <w:tcPr>
            <w:tcW w:w="394" w:type="pct"/>
            <w:vAlign w:val="center"/>
          </w:tcPr>
          <w:p w14:paraId="28CCBFFF" w14:textId="77777777" w:rsidR="0094585B" w:rsidRPr="005601F2" w:rsidRDefault="0094585B" w:rsidP="0094585B">
            <w:r w:rsidRPr="005601F2">
              <w:t>Svjetska banka</w:t>
            </w:r>
          </w:p>
        </w:tc>
        <w:tc>
          <w:tcPr>
            <w:tcW w:w="1210" w:type="pct"/>
          </w:tcPr>
          <w:p w14:paraId="0BF0C7DE" w14:textId="77777777" w:rsidR="003B4314" w:rsidRPr="005601F2" w:rsidRDefault="003B4314" w:rsidP="003B431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2">
              <w:rPr>
                <w:rFonts w:ascii="Times New Roman" w:hAnsi="Times New Roman" w:cs="Times New Roman"/>
                <w:sz w:val="24"/>
                <w:szCs w:val="24"/>
              </w:rPr>
              <w:t>Zakon o zdravstvenoj zaštiti (Čl. 168.)</w:t>
            </w:r>
          </w:p>
          <w:p w14:paraId="2C4F6107" w14:textId="6EE83B96" w:rsidR="0094585B" w:rsidRPr="005601F2" w:rsidRDefault="0094585B" w:rsidP="0094585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5" w:type="pct"/>
          </w:tcPr>
          <w:p w14:paraId="7C4A03FC" w14:textId="0055534E" w:rsidR="0094585B" w:rsidRPr="005601F2" w:rsidRDefault="0094585B" w:rsidP="0094585B">
            <w:r w:rsidRPr="005601F2">
              <w:t>Skratit će se vrijeme za dobivanje licence</w:t>
            </w:r>
          </w:p>
        </w:tc>
      </w:tr>
      <w:bookmarkEnd w:id="25"/>
      <w:tr w:rsidR="00FA7E07" w:rsidRPr="005601F2" w14:paraId="75A59F6C" w14:textId="77777777" w:rsidTr="00AD5DEE">
        <w:trPr>
          <w:trHeight w:val="620"/>
          <w:jc w:val="center"/>
        </w:trPr>
        <w:tc>
          <w:tcPr>
            <w:tcW w:w="167" w:type="pct"/>
            <w:vAlign w:val="center"/>
          </w:tcPr>
          <w:p w14:paraId="484393EB" w14:textId="4770D88E" w:rsidR="00FA7E07" w:rsidRPr="005601F2" w:rsidRDefault="00FA7E07" w:rsidP="00FA7E07">
            <w:pPr>
              <w:tabs>
                <w:tab w:val="left" w:pos="360"/>
              </w:tabs>
            </w:pPr>
            <w:r>
              <w:t>4.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38E8C70" w14:textId="37D5E2D6" w:rsidR="00FA7E07" w:rsidRPr="005601F2" w:rsidRDefault="00FA7E07" w:rsidP="00FA7E07">
            <w:pPr>
              <w:contextualSpacing/>
            </w:pPr>
            <w:r w:rsidRPr="005601F2">
              <w:t>Ukinuti pripravnički staž i stručni ispit za fizioterapeutske tehničare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6EAE9E5E" w14:textId="22A3CA05" w:rsidR="00FA7E07" w:rsidRPr="005601F2" w:rsidRDefault="00FA7E07" w:rsidP="00FA7E07">
            <w:r w:rsidRPr="005601F2">
              <w:t>Ministarstvo zdravstva (MIZ)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BFE7BC0" w14:textId="6BD09B13" w:rsidR="00FA7E07" w:rsidRPr="005601F2" w:rsidRDefault="00FA7E07" w:rsidP="00FA7E07">
            <w:r w:rsidRPr="005601F2">
              <w:t>Q2/25</w:t>
            </w:r>
          </w:p>
        </w:tc>
        <w:tc>
          <w:tcPr>
            <w:tcW w:w="394" w:type="pct"/>
            <w:vAlign w:val="center"/>
          </w:tcPr>
          <w:p w14:paraId="2CDE5B7A" w14:textId="46774580" w:rsidR="00FA7E07" w:rsidRPr="005601F2" w:rsidRDefault="00FA7E07" w:rsidP="00FA7E07">
            <w:r w:rsidRPr="005601F2">
              <w:t>Svjetska banka</w:t>
            </w:r>
          </w:p>
        </w:tc>
        <w:tc>
          <w:tcPr>
            <w:tcW w:w="1210" w:type="pct"/>
          </w:tcPr>
          <w:p w14:paraId="68B20FE6" w14:textId="77777777" w:rsidR="00FA7E07" w:rsidRPr="005601F2" w:rsidRDefault="00FA7E07" w:rsidP="00FA7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2">
              <w:rPr>
                <w:rFonts w:ascii="Times New Roman" w:hAnsi="Times New Roman" w:cs="Times New Roman"/>
                <w:sz w:val="24"/>
                <w:szCs w:val="24"/>
              </w:rPr>
              <w:t>Zakon o zdravstvenoj zaštiti (Čl. 168.)</w:t>
            </w:r>
          </w:p>
          <w:p w14:paraId="69683248" w14:textId="77777777" w:rsidR="00FA7E07" w:rsidRPr="005601F2" w:rsidRDefault="00FA7E07" w:rsidP="00FA7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</w:tcPr>
          <w:p w14:paraId="5D5DE1A0" w14:textId="1218CC0A" w:rsidR="00FA7E07" w:rsidRPr="005601F2" w:rsidRDefault="00FA7E07" w:rsidP="00FA7E07">
            <w:r w:rsidRPr="005601F2">
              <w:t>Skratit će se vrijeme za dobivanje licence</w:t>
            </w:r>
          </w:p>
        </w:tc>
      </w:tr>
      <w:tr w:rsidR="00FA7E07" w:rsidRPr="005601F2" w14:paraId="785DE49D" w14:textId="77777777" w:rsidTr="00AD5DEE">
        <w:trPr>
          <w:trHeight w:val="251"/>
          <w:jc w:val="center"/>
        </w:trPr>
        <w:tc>
          <w:tcPr>
            <w:tcW w:w="167" w:type="pct"/>
            <w:shd w:val="clear" w:color="auto" w:fill="1F497D" w:themeFill="text2"/>
            <w:vAlign w:val="center"/>
          </w:tcPr>
          <w:p w14:paraId="3BEB64D1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379" w:type="pct"/>
            <w:shd w:val="clear" w:color="auto" w:fill="1F497D" w:themeFill="text2"/>
            <w:vAlign w:val="center"/>
          </w:tcPr>
          <w:p w14:paraId="508780BD" w14:textId="0DE21ED7" w:rsidR="00FA7E07" w:rsidRPr="005601F2" w:rsidRDefault="00FA7E07" w:rsidP="00FA7E07">
            <w:pPr>
              <w:rPr>
                <w:b/>
                <w:color w:val="FFFFFF" w:themeColor="background1"/>
              </w:rPr>
            </w:pPr>
            <w:r w:rsidRPr="005601F2">
              <w:rPr>
                <w:b/>
                <w:bCs/>
                <w:color w:val="FFFFFF" w:themeColor="background1"/>
              </w:rPr>
              <w:t xml:space="preserve">Ostale zdravstvene profesije </w:t>
            </w:r>
          </w:p>
        </w:tc>
        <w:tc>
          <w:tcPr>
            <w:tcW w:w="844" w:type="pct"/>
            <w:shd w:val="clear" w:color="auto" w:fill="1F497D" w:themeFill="text2"/>
            <w:vAlign w:val="center"/>
          </w:tcPr>
          <w:p w14:paraId="7962B231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281" w:type="pct"/>
            <w:shd w:val="clear" w:color="auto" w:fill="1F497D" w:themeFill="text2"/>
            <w:vAlign w:val="center"/>
          </w:tcPr>
          <w:p w14:paraId="5A5AF258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394" w:type="pct"/>
            <w:shd w:val="clear" w:color="auto" w:fill="1F497D" w:themeFill="text2"/>
          </w:tcPr>
          <w:p w14:paraId="6E0FED36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210" w:type="pct"/>
            <w:shd w:val="clear" w:color="auto" w:fill="1F497D" w:themeFill="text2"/>
          </w:tcPr>
          <w:p w14:paraId="740C2940" w14:textId="77777777" w:rsidR="00FA7E07" w:rsidRPr="005601F2" w:rsidRDefault="00FA7E07" w:rsidP="00FA7E07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725" w:type="pct"/>
            <w:shd w:val="clear" w:color="auto" w:fill="1F497D" w:themeFill="text2"/>
          </w:tcPr>
          <w:p w14:paraId="1197672D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</w:tr>
      <w:tr w:rsidR="00FA7E07" w:rsidRPr="005601F2" w14:paraId="06C5A94C" w14:textId="77777777" w:rsidTr="00AD5DEE">
        <w:trPr>
          <w:trHeight w:val="620"/>
          <w:jc w:val="center"/>
        </w:trPr>
        <w:tc>
          <w:tcPr>
            <w:tcW w:w="167" w:type="pct"/>
            <w:vAlign w:val="center"/>
          </w:tcPr>
          <w:p w14:paraId="59F5605C" w14:textId="16D99801" w:rsidR="00FA7E07" w:rsidRPr="005601F2" w:rsidRDefault="00FA7E07" w:rsidP="00FA7E07">
            <w:pPr>
              <w:tabs>
                <w:tab w:val="left" w:pos="360"/>
              </w:tabs>
            </w:pPr>
            <w:r>
              <w:t>5</w:t>
            </w:r>
            <w:r w:rsidRPr="005601F2">
              <w:t>.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57E9C96" w14:textId="77777777" w:rsidR="00FA7E07" w:rsidRPr="005601F2" w:rsidRDefault="00FA7E07" w:rsidP="00FA7E07">
            <w:pPr>
              <w:contextualSpacing/>
            </w:pPr>
            <w:r w:rsidRPr="005601F2">
              <w:t>Ukinuti pripravnički staž i stručni ispit za primalje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1D6F0469" w14:textId="32D60AB9" w:rsidR="00FA7E07" w:rsidRPr="005601F2" w:rsidRDefault="00FA7E07" w:rsidP="00FA7E07">
            <w:r w:rsidRPr="005601F2">
              <w:t>Ministarstvo zdravstva (MIZ)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F04EEE9" w14:textId="7323B456" w:rsidR="00FA7E07" w:rsidRPr="005601F2" w:rsidRDefault="00FA7E07" w:rsidP="00FA7E07">
            <w:r w:rsidRPr="005601F2">
              <w:t>Q2/25</w:t>
            </w:r>
          </w:p>
        </w:tc>
        <w:tc>
          <w:tcPr>
            <w:tcW w:w="394" w:type="pct"/>
            <w:vAlign w:val="center"/>
          </w:tcPr>
          <w:p w14:paraId="3B4E413A" w14:textId="77777777" w:rsidR="00FA7E07" w:rsidRPr="005601F2" w:rsidRDefault="00FA7E07" w:rsidP="00FA7E07">
            <w:r w:rsidRPr="005601F2">
              <w:t>Svjetska banka</w:t>
            </w:r>
          </w:p>
        </w:tc>
        <w:tc>
          <w:tcPr>
            <w:tcW w:w="1210" w:type="pct"/>
          </w:tcPr>
          <w:p w14:paraId="6BCDBA4D" w14:textId="77777777" w:rsidR="00FA7E07" w:rsidRPr="005601F2" w:rsidRDefault="00FA7E07" w:rsidP="00FA7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2">
              <w:rPr>
                <w:rFonts w:ascii="Times New Roman" w:hAnsi="Times New Roman" w:cs="Times New Roman"/>
                <w:sz w:val="24"/>
                <w:szCs w:val="24"/>
              </w:rPr>
              <w:t>Zakon o zdravstvenoj zaštiti (Čl. 168.)</w:t>
            </w:r>
          </w:p>
          <w:p w14:paraId="7AB33E64" w14:textId="6133BFE1" w:rsidR="00FA7E07" w:rsidRPr="005601F2" w:rsidRDefault="00FA7E07" w:rsidP="00FA7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5" w:type="pct"/>
          </w:tcPr>
          <w:p w14:paraId="496D7245" w14:textId="77777777" w:rsidR="00FA7E07" w:rsidRPr="005601F2" w:rsidRDefault="00FA7E07" w:rsidP="00FA7E07">
            <w:r w:rsidRPr="005601F2">
              <w:t>Skratit će se vrijeme za dobivanje licence</w:t>
            </w:r>
          </w:p>
        </w:tc>
      </w:tr>
      <w:tr w:rsidR="00FA7E07" w:rsidRPr="005601F2" w14:paraId="0CA5366A" w14:textId="77777777" w:rsidTr="00AD5DEE">
        <w:trPr>
          <w:trHeight w:val="620"/>
          <w:jc w:val="center"/>
        </w:trPr>
        <w:tc>
          <w:tcPr>
            <w:tcW w:w="167" w:type="pct"/>
            <w:vAlign w:val="center"/>
          </w:tcPr>
          <w:p w14:paraId="01157E81" w14:textId="6B5217F4" w:rsidR="00FA7E07" w:rsidRPr="005601F2" w:rsidRDefault="00FA7E07" w:rsidP="00FA7E07">
            <w:pPr>
              <w:tabs>
                <w:tab w:val="left" w:pos="360"/>
              </w:tabs>
            </w:pPr>
            <w:r w:rsidRPr="005601F2">
              <w:lastRenderedPageBreak/>
              <w:t>6.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0A2CA25" w14:textId="77777777" w:rsidR="00FA7E07" w:rsidRPr="005601F2" w:rsidRDefault="00FA7E07" w:rsidP="00FA7E07">
            <w:pPr>
              <w:contextualSpacing/>
            </w:pPr>
            <w:r w:rsidRPr="005601F2">
              <w:t>Ukinuti pripravnički staž i stručni ispit za prvostupnike medicinsko-laboratorijske dijagnostike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530BF2BF" w14:textId="197D642F" w:rsidR="00FA7E07" w:rsidRPr="005601F2" w:rsidRDefault="00FA7E07" w:rsidP="00FA7E07">
            <w:r w:rsidRPr="005601F2">
              <w:t>Ministarstvo zdravstva (MIZ)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74C810B" w14:textId="23BBD7AD" w:rsidR="00FA7E07" w:rsidRPr="005601F2" w:rsidRDefault="00FA7E07" w:rsidP="00FA7E07">
            <w:r w:rsidRPr="005601F2">
              <w:t>Q2/25</w:t>
            </w:r>
          </w:p>
        </w:tc>
        <w:tc>
          <w:tcPr>
            <w:tcW w:w="394" w:type="pct"/>
            <w:vAlign w:val="center"/>
          </w:tcPr>
          <w:p w14:paraId="0CFF4888" w14:textId="0B00E539" w:rsidR="00FA7E07" w:rsidRPr="005601F2" w:rsidRDefault="00FA7E07" w:rsidP="00FA7E07">
            <w:r w:rsidRPr="005601F2">
              <w:t>Svjetska banka</w:t>
            </w:r>
          </w:p>
        </w:tc>
        <w:tc>
          <w:tcPr>
            <w:tcW w:w="1210" w:type="pct"/>
          </w:tcPr>
          <w:p w14:paraId="60DA8421" w14:textId="77777777" w:rsidR="00FA7E07" w:rsidRPr="005601F2" w:rsidRDefault="00FA7E07" w:rsidP="00FA7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2">
              <w:rPr>
                <w:rFonts w:ascii="Times New Roman" w:hAnsi="Times New Roman" w:cs="Times New Roman"/>
                <w:sz w:val="24"/>
                <w:szCs w:val="24"/>
              </w:rPr>
              <w:t>Zakon o zdravstvenoj zaštiti (Čl. 168.)</w:t>
            </w:r>
          </w:p>
          <w:p w14:paraId="46FE5687" w14:textId="7A791385" w:rsidR="00FA7E07" w:rsidRPr="005601F2" w:rsidRDefault="00FA7E07" w:rsidP="00FA7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5" w:type="pct"/>
          </w:tcPr>
          <w:p w14:paraId="264A54D5" w14:textId="77777777" w:rsidR="00FA7E07" w:rsidRPr="005601F2" w:rsidRDefault="00FA7E07" w:rsidP="00FA7E07">
            <w:r w:rsidRPr="005601F2">
              <w:t>Skratit će se vrijeme za dobivanje licence</w:t>
            </w:r>
          </w:p>
        </w:tc>
      </w:tr>
      <w:tr w:rsidR="00FA7E07" w:rsidRPr="005601F2" w14:paraId="61992C32" w14:textId="77777777" w:rsidTr="00AD5DEE">
        <w:trPr>
          <w:trHeight w:val="620"/>
          <w:jc w:val="center"/>
        </w:trPr>
        <w:tc>
          <w:tcPr>
            <w:tcW w:w="167" w:type="pct"/>
            <w:vAlign w:val="center"/>
          </w:tcPr>
          <w:p w14:paraId="6D02CBB7" w14:textId="5D0F2575" w:rsidR="00FA7E07" w:rsidRPr="005601F2" w:rsidRDefault="00FA7E07" w:rsidP="00FA7E07">
            <w:pPr>
              <w:tabs>
                <w:tab w:val="left" w:pos="360"/>
              </w:tabs>
            </w:pPr>
            <w:r w:rsidRPr="005601F2">
              <w:t>7.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F4E29A9" w14:textId="7D3FDFE2" w:rsidR="00FA7E07" w:rsidRPr="005601F2" w:rsidRDefault="00FA7E07" w:rsidP="00FA7E07">
            <w:pPr>
              <w:contextualSpacing/>
            </w:pPr>
            <w:r w:rsidRPr="005601F2">
              <w:t>Ukinuti pripravnički staž i stručni ispit za zdravstveno-laboratorijske tehničare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3DF7E702" w14:textId="6222B2DC" w:rsidR="00FA7E07" w:rsidRPr="005601F2" w:rsidRDefault="00FA7E07" w:rsidP="00FA7E07">
            <w:r w:rsidRPr="005601F2">
              <w:t>Ministarstvo zdravstva (MIZ)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6C2D01B" w14:textId="4D11B1DB" w:rsidR="00FA7E07" w:rsidRPr="005601F2" w:rsidRDefault="00FA7E07" w:rsidP="00FA7E07">
            <w:r w:rsidRPr="005601F2">
              <w:t xml:space="preserve"> Q2/25</w:t>
            </w:r>
          </w:p>
        </w:tc>
        <w:tc>
          <w:tcPr>
            <w:tcW w:w="394" w:type="pct"/>
            <w:vAlign w:val="center"/>
          </w:tcPr>
          <w:p w14:paraId="5AB697F7" w14:textId="77777777" w:rsidR="00FA7E07" w:rsidRPr="005601F2" w:rsidRDefault="00FA7E07" w:rsidP="00FA7E07">
            <w:r w:rsidRPr="005601F2">
              <w:t>Svjetska banka</w:t>
            </w:r>
          </w:p>
        </w:tc>
        <w:tc>
          <w:tcPr>
            <w:tcW w:w="1210" w:type="pct"/>
          </w:tcPr>
          <w:p w14:paraId="3A0BD4BC" w14:textId="77777777" w:rsidR="00FA7E07" w:rsidRPr="005601F2" w:rsidRDefault="00FA7E07" w:rsidP="00FA7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2">
              <w:rPr>
                <w:rFonts w:ascii="Times New Roman" w:hAnsi="Times New Roman" w:cs="Times New Roman"/>
                <w:sz w:val="24"/>
                <w:szCs w:val="24"/>
              </w:rPr>
              <w:t>Zakon o zdravstvenoj zaštiti (Čl. 168.)</w:t>
            </w:r>
          </w:p>
          <w:p w14:paraId="0C21743A" w14:textId="6834887F" w:rsidR="00FA7E07" w:rsidRPr="005601F2" w:rsidRDefault="00FA7E07" w:rsidP="00FA7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5" w:type="pct"/>
          </w:tcPr>
          <w:p w14:paraId="7A747AD5" w14:textId="77777777" w:rsidR="00FA7E07" w:rsidRPr="005601F2" w:rsidRDefault="00FA7E07" w:rsidP="00FA7E07">
            <w:r w:rsidRPr="005601F2">
              <w:t>Skratit će se vrijeme za dobivanje licence</w:t>
            </w:r>
          </w:p>
        </w:tc>
      </w:tr>
      <w:tr w:rsidR="00FA7E07" w:rsidRPr="005601F2" w14:paraId="7D6B92B4" w14:textId="77777777" w:rsidTr="00AD5DEE">
        <w:trPr>
          <w:trHeight w:val="620"/>
          <w:jc w:val="center"/>
        </w:trPr>
        <w:tc>
          <w:tcPr>
            <w:tcW w:w="167" w:type="pct"/>
            <w:vAlign w:val="center"/>
          </w:tcPr>
          <w:p w14:paraId="3C044F96" w14:textId="559C1DD5" w:rsidR="00FA7E07" w:rsidRPr="005601F2" w:rsidRDefault="00FA7E07" w:rsidP="00FA7E07">
            <w:pPr>
              <w:tabs>
                <w:tab w:val="left" w:pos="360"/>
              </w:tabs>
            </w:pPr>
            <w:r w:rsidRPr="005601F2">
              <w:t>8.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C6E0C94" w14:textId="48ABEFD2" w:rsidR="00FA7E07" w:rsidRPr="005601F2" w:rsidRDefault="00FA7E07" w:rsidP="00FA7E07">
            <w:pPr>
              <w:contextualSpacing/>
            </w:pPr>
            <w:r w:rsidRPr="005601F2">
              <w:t>Ukinuti pripravnički staž i stručni ispit za sanitarne inženjere i sanitarne tehničare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779DE02F" w14:textId="364A40E1" w:rsidR="00FA7E07" w:rsidRPr="005601F2" w:rsidRDefault="00FA7E07" w:rsidP="00FA7E07">
            <w:r w:rsidRPr="005601F2">
              <w:t>Ministarstvo zdravstva (MIZ)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430F64D" w14:textId="7CD62ACF" w:rsidR="00FA7E07" w:rsidRPr="005601F2" w:rsidRDefault="00FA7E07" w:rsidP="00FA7E07">
            <w:r w:rsidRPr="005601F2">
              <w:t>Q2/25</w:t>
            </w:r>
          </w:p>
        </w:tc>
        <w:tc>
          <w:tcPr>
            <w:tcW w:w="394" w:type="pct"/>
            <w:vAlign w:val="center"/>
          </w:tcPr>
          <w:p w14:paraId="656591DB" w14:textId="6390515E" w:rsidR="00FA7E07" w:rsidRPr="005601F2" w:rsidRDefault="00FA7E07" w:rsidP="00FA7E07">
            <w:r w:rsidRPr="005601F2">
              <w:t>Svjetska banka</w:t>
            </w:r>
          </w:p>
        </w:tc>
        <w:tc>
          <w:tcPr>
            <w:tcW w:w="1210" w:type="pct"/>
          </w:tcPr>
          <w:p w14:paraId="72ECF59A" w14:textId="77777777" w:rsidR="00FA7E07" w:rsidRPr="005601F2" w:rsidRDefault="00FA7E07" w:rsidP="00FA7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2">
              <w:rPr>
                <w:rFonts w:ascii="Times New Roman" w:hAnsi="Times New Roman" w:cs="Times New Roman"/>
                <w:sz w:val="24"/>
                <w:szCs w:val="24"/>
              </w:rPr>
              <w:t>Zakon o zdravstvenoj zaštiti (Čl. 168.)</w:t>
            </w:r>
          </w:p>
          <w:p w14:paraId="6947CD5A" w14:textId="16482AA1" w:rsidR="00FA7E07" w:rsidRPr="005601F2" w:rsidRDefault="00FA7E07" w:rsidP="00FA7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5" w:type="pct"/>
          </w:tcPr>
          <w:p w14:paraId="029DDE73" w14:textId="77777777" w:rsidR="00FA7E07" w:rsidRPr="005601F2" w:rsidRDefault="00FA7E07" w:rsidP="00FA7E07">
            <w:r w:rsidRPr="005601F2">
              <w:t>Skratit će se vrijeme za dobivanje licence</w:t>
            </w:r>
          </w:p>
        </w:tc>
      </w:tr>
      <w:tr w:rsidR="00FA7E07" w:rsidRPr="005601F2" w14:paraId="5F816D8D" w14:textId="77777777" w:rsidTr="00AD5DEE">
        <w:trPr>
          <w:trHeight w:val="620"/>
          <w:jc w:val="center"/>
        </w:trPr>
        <w:tc>
          <w:tcPr>
            <w:tcW w:w="167" w:type="pct"/>
            <w:vAlign w:val="center"/>
          </w:tcPr>
          <w:p w14:paraId="0D6E5E56" w14:textId="3E0DCF6F" w:rsidR="00FA7E07" w:rsidRPr="005601F2" w:rsidRDefault="00FA7E07" w:rsidP="00FA7E07">
            <w:pPr>
              <w:tabs>
                <w:tab w:val="left" w:pos="360"/>
              </w:tabs>
            </w:pPr>
            <w:r w:rsidRPr="005601F2">
              <w:t>9.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E25BCF1" w14:textId="08E47989" w:rsidR="00FA7E07" w:rsidRPr="005601F2" w:rsidRDefault="00FA7E07" w:rsidP="00FA7E07">
            <w:pPr>
              <w:contextualSpacing/>
            </w:pPr>
            <w:r w:rsidRPr="005601F2">
              <w:t>Ukinuti pripravnički staž i stručni ispit za prvostupnike radiološke tehnologije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13259412" w14:textId="10F4BBB2" w:rsidR="00FA7E07" w:rsidRPr="005601F2" w:rsidRDefault="00FA7E07" w:rsidP="00FA7E07">
            <w:r w:rsidRPr="005601F2">
              <w:t>Ministarstvo zdravstva (MIZ)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D775723" w14:textId="30CFB7BC" w:rsidR="00FA7E07" w:rsidRPr="005601F2" w:rsidRDefault="00FA7E07" w:rsidP="00FA7E07">
            <w:r w:rsidRPr="005601F2">
              <w:t>Q2/25</w:t>
            </w:r>
          </w:p>
        </w:tc>
        <w:tc>
          <w:tcPr>
            <w:tcW w:w="394" w:type="pct"/>
            <w:vAlign w:val="center"/>
          </w:tcPr>
          <w:p w14:paraId="1656CF6E" w14:textId="77777777" w:rsidR="00FA7E07" w:rsidRPr="005601F2" w:rsidRDefault="00FA7E07" w:rsidP="00FA7E07">
            <w:r w:rsidRPr="005601F2">
              <w:t>Svjetska banka</w:t>
            </w:r>
          </w:p>
        </w:tc>
        <w:tc>
          <w:tcPr>
            <w:tcW w:w="1210" w:type="pct"/>
          </w:tcPr>
          <w:p w14:paraId="4A2D0350" w14:textId="77777777" w:rsidR="00FA7E07" w:rsidRPr="005601F2" w:rsidRDefault="00FA7E07" w:rsidP="00FA7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2">
              <w:rPr>
                <w:rFonts w:ascii="Times New Roman" w:hAnsi="Times New Roman" w:cs="Times New Roman"/>
                <w:sz w:val="24"/>
                <w:szCs w:val="24"/>
              </w:rPr>
              <w:t>Zakon o zdravstvenoj zaštiti (Čl. 168.)</w:t>
            </w:r>
          </w:p>
          <w:p w14:paraId="6D204D18" w14:textId="548541DC" w:rsidR="00FA7E07" w:rsidRPr="005601F2" w:rsidRDefault="00FA7E07" w:rsidP="00FA7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5" w:type="pct"/>
          </w:tcPr>
          <w:p w14:paraId="0B3A8809" w14:textId="77777777" w:rsidR="00FA7E07" w:rsidRPr="005601F2" w:rsidRDefault="00FA7E07" w:rsidP="00FA7E07">
            <w:r w:rsidRPr="005601F2">
              <w:t>Skratit će se vrijeme za dobivanje licence</w:t>
            </w:r>
          </w:p>
        </w:tc>
      </w:tr>
      <w:tr w:rsidR="00FA7E07" w:rsidRPr="005601F2" w14:paraId="16674EF3" w14:textId="77777777" w:rsidTr="00AD5DEE">
        <w:trPr>
          <w:trHeight w:val="620"/>
          <w:jc w:val="center"/>
        </w:trPr>
        <w:tc>
          <w:tcPr>
            <w:tcW w:w="167" w:type="pct"/>
            <w:vAlign w:val="center"/>
          </w:tcPr>
          <w:p w14:paraId="75036FC1" w14:textId="2BE79EF7" w:rsidR="00FA7E07" w:rsidRPr="005601F2" w:rsidRDefault="00FA7E07" w:rsidP="00FA7E07">
            <w:pPr>
              <w:tabs>
                <w:tab w:val="left" w:pos="360"/>
              </w:tabs>
            </w:pPr>
            <w:r w:rsidRPr="005601F2">
              <w:t>10.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FE33A73" w14:textId="66F992B1" w:rsidR="00FA7E07" w:rsidRPr="005601F2" w:rsidRDefault="00FA7E07" w:rsidP="00FA7E07">
            <w:pPr>
              <w:contextualSpacing/>
            </w:pPr>
            <w:r w:rsidRPr="005601F2">
              <w:t>Ukinuti pripravnički staž i stručni ispit za dentalne tehničare i dentalne asistente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67257477" w14:textId="3136CC2F" w:rsidR="00FA7E07" w:rsidRPr="005601F2" w:rsidRDefault="00FA7E07" w:rsidP="00FA7E07">
            <w:r w:rsidRPr="005601F2">
              <w:t>Ministarstvo zdravstva (MIZ)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314317C" w14:textId="728570EF" w:rsidR="00FA7E07" w:rsidRPr="005601F2" w:rsidRDefault="00FA7E07" w:rsidP="00FA7E07">
            <w:r w:rsidRPr="005601F2">
              <w:t>Q2/25</w:t>
            </w:r>
          </w:p>
        </w:tc>
        <w:tc>
          <w:tcPr>
            <w:tcW w:w="394" w:type="pct"/>
            <w:vAlign w:val="center"/>
          </w:tcPr>
          <w:p w14:paraId="28BB3AB0" w14:textId="77777777" w:rsidR="00FA7E07" w:rsidRPr="005601F2" w:rsidRDefault="00FA7E07" w:rsidP="00FA7E07">
            <w:r w:rsidRPr="005601F2">
              <w:t>Svjetska banka</w:t>
            </w:r>
          </w:p>
        </w:tc>
        <w:tc>
          <w:tcPr>
            <w:tcW w:w="1210" w:type="pct"/>
          </w:tcPr>
          <w:p w14:paraId="079715D3" w14:textId="77777777" w:rsidR="00FA7E07" w:rsidRPr="005601F2" w:rsidRDefault="00FA7E07" w:rsidP="00FA7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2">
              <w:rPr>
                <w:rFonts w:ascii="Times New Roman" w:hAnsi="Times New Roman" w:cs="Times New Roman"/>
                <w:sz w:val="24"/>
                <w:szCs w:val="24"/>
              </w:rPr>
              <w:t>Zakon o zdravstvenoj zaštiti (Čl. 168.)</w:t>
            </w:r>
          </w:p>
          <w:p w14:paraId="021B121F" w14:textId="1E43FBAC" w:rsidR="00FA7E07" w:rsidRPr="005601F2" w:rsidRDefault="00FA7E07" w:rsidP="00FA7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5" w:type="pct"/>
          </w:tcPr>
          <w:p w14:paraId="6392EBA7" w14:textId="77777777" w:rsidR="00FA7E07" w:rsidRPr="005601F2" w:rsidRDefault="00FA7E07" w:rsidP="00FA7E07">
            <w:r w:rsidRPr="005601F2">
              <w:t>Skratit će se vrijeme za dobivanje licence</w:t>
            </w:r>
          </w:p>
        </w:tc>
      </w:tr>
      <w:tr w:rsidR="00FA7E07" w:rsidRPr="005601F2" w14:paraId="1328589F" w14:textId="77777777" w:rsidTr="00AD5DEE">
        <w:trPr>
          <w:trHeight w:val="620"/>
          <w:jc w:val="center"/>
        </w:trPr>
        <w:tc>
          <w:tcPr>
            <w:tcW w:w="167" w:type="pct"/>
            <w:vAlign w:val="center"/>
          </w:tcPr>
          <w:p w14:paraId="6E596942" w14:textId="6AA72827" w:rsidR="00FA7E07" w:rsidRPr="005601F2" w:rsidRDefault="00FA7E07" w:rsidP="00FA7E07">
            <w:pPr>
              <w:tabs>
                <w:tab w:val="left" w:pos="360"/>
              </w:tabs>
            </w:pPr>
            <w:r w:rsidRPr="005601F2">
              <w:t>11.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728055B" w14:textId="5BA21A5B" w:rsidR="00FA7E07" w:rsidRPr="005601F2" w:rsidRDefault="00FA7E07" w:rsidP="00FA7E07">
            <w:pPr>
              <w:contextualSpacing/>
            </w:pPr>
            <w:r w:rsidRPr="005601F2">
              <w:t>Ukinuti pripravnički staž i stručni ispit za prvostupnike radne terapije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165B3892" w14:textId="10125A31" w:rsidR="00FA7E07" w:rsidRPr="005601F2" w:rsidRDefault="00FA7E07" w:rsidP="00FA7E07">
            <w:r w:rsidRPr="005601F2">
              <w:t>Ministarstvo zdravstva (MIZ)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7C7684E" w14:textId="18007C20" w:rsidR="00FA7E07" w:rsidRPr="005601F2" w:rsidRDefault="00FA7E07" w:rsidP="00FA7E07">
            <w:r w:rsidRPr="005601F2">
              <w:t>Q2/25</w:t>
            </w:r>
          </w:p>
        </w:tc>
        <w:tc>
          <w:tcPr>
            <w:tcW w:w="394" w:type="pct"/>
            <w:vAlign w:val="center"/>
          </w:tcPr>
          <w:p w14:paraId="47F94F41" w14:textId="2EBE1F93" w:rsidR="00FA7E07" w:rsidRPr="005601F2" w:rsidRDefault="00FA7E07" w:rsidP="00FA7E07">
            <w:r w:rsidRPr="005601F2">
              <w:t>Svjetska banka</w:t>
            </w:r>
          </w:p>
        </w:tc>
        <w:tc>
          <w:tcPr>
            <w:tcW w:w="1210" w:type="pct"/>
          </w:tcPr>
          <w:p w14:paraId="3BE4EEBA" w14:textId="77777777" w:rsidR="00FA7E07" w:rsidRPr="005601F2" w:rsidRDefault="00FA7E07" w:rsidP="00FA7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2">
              <w:rPr>
                <w:rFonts w:ascii="Times New Roman" w:hAnsi="Times New Roman" w:cs="Times New Roman"/>
                <w:sz w:val="24"/>
                <w:szCs w:val="24"/>
              </w:rPr>
              <w:t>Zakon o zdravstvenoj zaštiti (Čl. 168.)</w:t>
            </w:r>
          </w:p>
          <w:p w14:paraId="448FB10C" w14:textId="2B1AB449" w:rsidR="00FA7E07" w:rsidRPr="005601F2" w:rsidRDefault="00FA7E07" w:rsidP="00FA7E0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5" w:type="pct"/>
          </w:tcPr>
          <w:p w14:paraId="5787E350" w14:textId="77777777" w:rsidR="00FA7E07" w:rsidRPr="005601F2" w:rsidRDefault="00FA7E07" w:rsidP="00FA7E07">
            <w:r w:rsidRPr="005601F2">
              <w:t>Skratit će se vrijeme za dobivanje licence</w:t>
            </w:r>
          </w:p>
        </w:tc>
      </w:tr>
      <w:tr w:rsidR="00FA7E07" w:rsidRPr="005601F2" w14:paraId="700E8295" w14:textId="77777777" w:rsidTr="00AD5DEE">
        <w:trPr>
          <w:trHeight w:val="251"/>
          <w:jc w:val="center"/>
        </w:trPr>
        <w:tc>
          <w:tcPr>
            <w:tcW w:w="167" w:type="pct"/>
            <w:shd w:val="clear" w:color="auto" w:fill="1F497D" w:themeFill="text2"/>
            <w:vAlign w:val="center"/>
          </w:tcPr>
          <w:p w14:paraId="5232D250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379" w:type="pct"/>
            <w:shd w:val="clear" w:color="auto" w:fill="1F497D" w:themeFill="text2"/>
            <w:vAlign w:val="center"/>
          </w:tcPr>
          <w:p w14:paraId="02BB331D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  <w:r w:rsidRPr="005601F2">
              <w:rPr>
                <w:b/>
                <w:color w:val="FFFFFF" w:themeColor="background1"/>
              </w:rPr>
              <w:t>Odvjetnici</w:t>
            </w:r>
          </w:p>
        </w:tc>
        <w:tc>
          <w:tcPr>
            <w:tcW w:w="844" w:type="pct"/>
            <w:shd w:val="clear" w:color="auto" w:fill="1F497D" w:themeFill="text2"/>
            <w:vAlign w:val="center"/>
          </w:tcPr>
          <w:p w14:paraId="62A49029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281" w:type="pct"/>
            <w:shd w:val="clear" w:color="auto" w:fill="1F497D" w:themeFill="text2"/>
            <w:vAlign w:val="center"/>
          </w:tcPr>
          <w:p w14:paraId="5E3B70AD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394" w:type="pct"/>
            <w:shd w:val="clear" w:color="auto" w:fill="1F497D" w:themeFill="text2"/>
          </w:tcPr>
          <w:p w14:paraId="295E9064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210" w:type="pct"/>
            <w:shd w:val="clear" w:color="auto" w:fill="1F497D" w:themeFill="text2"/>
          </w:tcPr>
          <w:p w14:paraId="2BD60341" w14:textId="77777777" w:rsidR="00FA7E07" w:rsidRPr="005601F2" w:rsidRDefault="00FA7E07" w:rsidP="00FA7E07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725" w:type="pct"/>
            <w:shd w:val="clear" w:color="auto" w:fill="1F497D" w:themeFill="text2"/>
          </w:tcPr>
          <w:p w14:paraId="4C478D8F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</w:tr>
      <w:tr w:rsidR="00FA7E07" w:rsidRPr="005601F2" w14:paraId="668475EB" w14:textId="77777777" w:rsidTr="00A50CD6">
        <w:trPr>
          <w:trHeight w:val="1322"/>
          <w:jc w:val="center"/>
        </w:trPr>
        <w:tc>
          <w:tcPr>
            <w:tcW w:w="167" w:type="pct"/>
            <w:vAlign w:val="center"/>
          </w:tcPr>
          <w:p w14:paraId="77B493F3" w14:textId="29BC56B5" w:rsidR="00FA7E07" w:rsidRPr="005601F2" w:rsidRDefault="00FA7E07" w:rsidP="00FA7E07">
            <w:pPr>
              <w:tabs>
                <w:tab w:val="left" w:pos="360"/>
              </w:tabs>
            </w:pPr>
            <w:r w:rsidRPr="005601F2">
              <w:t>12.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59CBB00" w14:textId="5A244BC3" w:rsidR="00FA7E07" w:rsidRPr="005601F2" w:rsidRDefault="00FA7E07" w:rsidP="00FA7E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182991162"/>
            <w:r w:rsidRPr="005601F2">
              <w:rPr>
                <w:rFonts w:ascii="Times New Roman" w:hAnsi="Times New Roman" w:cs="Times New Roman"/>
                <w:sz w:val="24"/>
                <w:szCs w:val="24"/>
              </w:rPr>
              <w:t xml:space="preserve">Otvoriti mogućnost pružanja odvjetničkih usluga odvjetnicima iz država pristupnica OECD-ovog Kodeksa o liberalizaciji </w:t>
            </w:r>
            <w:bookmarkEnd w:id="26"/>
            <w:r w:rsidRPr="005601F2">
              <w:rPr>
                <w:rFonts w:ascii="Times New Roman" w:hAnsi="Times New Roman" w:cs="Times New Roman"/>
                <w:sz w:val="24"/>
                <w:szCs w:val="24"/>
              </w:rPr>
              <w:t xml:space="preserve">kretanja kapitala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601F2">
              <w:rPr>
                <w:rFonts w:ascii="Times New Roman" w:hAnsi="Times New Roman" w:cs="Times New Roman"/>
                <w:sz w:val="24"/>
                <w:szCs w:val="24"/>
              </w:rPr>
              <w:t>odeksa o liberalizaciji nevidljivih transakcija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64C4A750" w14:textId="5587F1BD" w:rsidR="00FA7E07" w:rsidRPr="005601F2" w:rsidRDefault="00FA7E07" w:rsidP="00FA7E07">
            <w:r w:rsidRPr="005601F2">
              <w:t>Ministarstvo pravosuđa, uprave i digitalne transformacije (MPUDT)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75381D3" w14:textId="2534EDB7" w:rsidR="00FA7E07" w:rsidRPr="005601F2" w:rsidRDefault="00FA7E07" w:rsidP="00FA7E07">
            <w:r w:rsidRPr="005601F2">
              <w:t>Q</w:t>
            </w:r>
            <w:r>
              <w:t>2</w:t>
            </w:r>
            <w:r w:rsidRPr="005601F2">
              <w:t>/25</w:t>
            </w:r>
          </w:p>
        </w:tc>
        <w:tc>
          <w:tcPr>
            <w:tcW w:w="394" w:type="pct"/>
            <w:vAlign w:val="center"/>
          </w:tcPr>
          <w:p w14:paraId="09A86CB9" w14:textId="77777777" w:rsidR="00FA7E07" w:rsidRPr="005601F2" w:rsidRDefault="00FA7E07" w:rsidP="00FA7E07">
            <w:r w:rsidRPr="005601F2">
              <w:t>OECD</w:t>
            </w:r>
          </w:p>
        </w:tc>
        <w:tc>
          <w:tcPr>
            <w:tcW w:w="1210" w:type="pct"/>
          </w:tcPr>
          <w:p w14:paraId="1D5FAC5B" w14:textId="63791545" w:rsidR="00FA7E07" w:rsidRPr="005601F2" w:rsidRDefault="00FA7E07" w:rsidP="00FA7E07">
            <w:pPr>
              <w:pStyle w:val="Defaul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5601F2">
              <w:rPr>
                <w:rFonts w:ascii="Times New Roman" w:hAnsi="Times New Roman" w:cs="Times New Roman"/>
                <w:color w:val="auto"/>
                <w:lang w:val="hr-HR"/>
              </w:rPr>
              <w:t xml:space="preserve">Zakon o odvjetništvu / </w:t>
            </w:r>
            <w:r w:rsidRPr="005601F2">
              <w:rPr>
                <w:rFonts w:ascii="Times New Roman" w:hAnsi="Times New Roman" w:cs="Times New Roman"/>
                <w:color w:val="auto"/>
                <w:lang w:val="pl-PL"/>
              </w:rPr>
              <w:t xml:space="preserve">Kodeks o liberalizaciji kretanja kapitala i </w:t>
            </w:r>
            <w:r>
              <w:rPr>
                <w:rFonts w:ascii="Times New Roman" w:hAnsi="Times New Roman" w:cs="Times New Roman"/>
                <w:color w:val="auto"/>
                <w:lang w:val="pl-PL"/>
              </w:rPr>
              <w:t>K</w:t>
            </w:r>
            <w:r w:rsidRPr="005601F2">
              <w:rPr>
                <w:rFonts w:ascii="Times New Roman" w:hAnsi="Times New Roman" w:cs="Times New Roman"/>
                <w:color w:val="auto"/>
                <w:lang w:val="pl-PL"/>
              </w:rPr>
              <w:t>odeks o liberalizaciji nevidljivih transakcija</w:t>
            </w:r>
          </w:p>
        </w:tc>
        <w:tc>
          <w:tcPr>
            <w:tcW w:w="725" w:type="pct"/>
          </w:tcPr>
          <w:p w14:paraId="7A63ECE8" w14:textId="708C50CB" w:rsidR="00FA7E07" w:rsidRPr="005601F2" w:rsidRDefault="00FA7E07" w:rsidP="00FA7E07">
            <w:r w:rsidRPr="005601F2">
              <w:t xml:space="preserve">Omogućit će se veća tržišna konkurencija </w:t>
            </w:r>
          </w:p>
        </w:tc>
      </w:tr>
      <w:tr w:rsidR="00FA7E07" w:rsidRPr="005601F2" w14:paraId="5D4814F9" w14:textId="77777777" w:rsidTr="00AD5DEE">
        <w:trPr>
          <w:trHeight w:val="251"/>
          <w:jc w:val="center"/>
        </w:trPr>
        <w:tc>
          <w:tcPr>
            <w:tcW w:w="167" w:type="pct"/>
            <w:shd w:val="clear" w:color="auto" w:fill="1F497D" w:themeFill="text2"/>
            <w:vAlign w:val="center"/>
          </w:tcPr>
          <w:p w14:paraId="02AC991C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379" w:type="pct"/>
            <w:shd w:val="clear" w:color="auto" w:fill="1F497D" w:themeFill="text2"/>
            <w:vAlign w:val="center"/>
          </w:tcPr>
          <w:p w14:paraId="327A6764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  <w:r w:rsidRPr="005601F2">
              <w:rPr>
                <w:b/>
                <w:color w:val="FFFFFF" w:themeColor="background1"/>
              </w:rPr>
              <w:t>Javni bilježnici</w:t>
            </w:r>
          </w:p>
        </w:tc>
        <w:tc>
          <w:tcPr>
            <w:tcW w:w="844" w:type="pct"/>
            <w:shd w:val="clear" w:color="auto" w:fill="1F497D" w:themeFill="text2"/>
            <w:vAlign w:val="center"/>
          </w:tcPr>
          <w:p w14:paraId="1CDD4538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281" w:type="pct"/>
            <w:shd w:val="clear" w:color="auto" w:fill="1F497D" w:themeFill="text2"/>
            <w:vAlign w:val="center"/>
          </w:tcPr>
          <w:p w14:paraId="6FB5304F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394" w:type="pct"/>
            <w:shd w:val="clear" w:color="auto" w:fill="1F497D" w:themeFill="text2"/>
          </w:tcPr>
          <w:p w14:paraId="150B4508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210" w:type="pct"/>
            <w:shd w:val="clear" w:color="auto" w:fill="1F497D" w:themeFill="text2"/>
          </w:tcPr>
          <w:p w14:paraId="6C6400F8" w14:textId="77777777" w:rsidR="00FA7E07" w:rsidRPr="005601F2" w:rsidRDefault="00FA7E07" w:rsidP="00FA7E07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725" w:type="pct"/>
            <w:shd w:val="clear" w:color="auto" w:fill="1F497D" w:themeFill="text2"/>
          </w:tcPr>
          <w:p w14:paraId="53862BB8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</w:tr>
      <w:tr w:rsidR="00FA7E07" w:rsidRPr="005601F2" w14:paraId="1A77FC27" w14:textId="77777777" w:rsidTr="00AD5DEE">
        <w:trPr>
          <w:trHeight w:val="47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7A36" w14:textId="0AFDEB4D" w:rsidR="00FA7E07" w:rsidRPr="005601F2" w:rsidRDefault="00FA7E07" w:rsidP="00FA7E07">
            <w:pPr>
              <w:tabs>
                <w:tab w:val="left" w:pos="360"/>
              </w:tabs>
            </w:pPr>
            <w:r w:rsidRPr="005601F2">
              <w:t>13.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36B8" w14:textId="77777777" w:rsidR="00FA7E07" w:rsidRPr="005601F2" w:rsidRDefault="00FA7E07" w:rsidP="00FA7E07">
            <w:pPr>
              <w:pStyle w:val="Default"/>
              <w:spacing w:after="0" w:line="240" w:lineRule="auto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5601F2">
              <w:rPr>
                <w:rFonts w:ascii="Times New Roman" w:hAnsi="Times New Roman" w:cs="Times New Roman"/>
                <w:color w:val="auto"/>
                <w:lang w:val="hr-HR"/>
              </w:rPr>
              <w:t>Proširiti obvezno radno vrijeme javnih bilježnika za primanje stranaka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0729" w14:textId="6C4B7261" w:rsidR="00FA7E07" w:rsidRPr="005601F2" w:rsidRDefault="00FA7E07" w:rsidP="00FA7E07">
            <w:r w:rsidRPr="005601F2">
              <w:t>Ministarstvo pravosuđa, uprave i digitalne transformacije (MPUDT)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9353" w14:textId="256FF6F7" w:rsidR="00FA7E07" w:rsidRPr="005601F2" w:rsidRDefault="00FA7E07" w:rsidP="00FA7E07">
            <w:r w:rsidRPr="005601F2">
              <w:t>Q2/25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F7C" w14:textId="7EC8B06A" w:rsidR="00FA7E07" w:rsidRPr="005601F2" w:rsidRDefault="00FA7E07" w:rsidP="00FA7E07"/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E639" w14:textId="46F370D4" w:rsidR="00FA7E07" w:rsidRPr="005601F2" w:rsidRDefault="00FA7E07" w:rsidP="00FA7E07">
            <w:pPr>
              <w:pStyle w:val="Defaul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5601F2">
              <w:rPr>
                <w:rFonts w:ascii="Times New Roman" w:hAnsi="Times New Roman" w:cs="Times New Roman"/>
                <w:color w:val="auto"/>
                <w:lang w:val="hr-HR"/>
              </w:rPr>
              <w:t>Pravilnik o radnom vremenu javnobilježničkih ureda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1469" w14:textId="6EDAE7F6" w:rsidR="00FA7E07" w:rsidRPr="005601F2" w:rsidRDefault="00FA7E07" w:rsidP="00FA7E07">
            <w:r w:rsidRPr="005601F2">
              <w:t>Povećat će se vremenska dostupnost bilježnika</w:t>
            </w:r>
          </w:p>
        </w:tc>
      </w:tr>
      <w:tr w:rsidR="00FA7E07" w:rsidRPr="005601F2" w14:paraId="64A48605" w14:textId="77777777" w:rsidTr="00AD5DEE">
        <w:trPr>
          <w:trHeight w:val="251"/>
          <w:jc w:val="center"/>
        </w:trPr>
        <w:tc>
          <w:tcPr>
            <w:tcW w:w="167" w:type="pct"/>
            <w:shd w:val="clear" w:color="auto" w:fill="1F497D" w:themeFill="text2"/>
            <w:vAlign w:val="center"/>
          </w:tcPr>
          <w:p w14:paraId="5429C490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379" w:type="pct"/>
            <w:shd w:val="clear" w:color="auto" w:fill="1F497D" w:themeFill="text2"/>
            <w:vAlign w:val="center"/>
          </w:tcPr>
          <w:p w14:paraId="61669E41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  <w:r w:rsidRPr="005601F2">
              <w:rPr>
                <w:b/>
                <w:color w:val="FFFFFF" w:themeColor="background1"/>
              </w:rPr>
              <w:t>Voditelji turističkih agencija</w:t>
            </w:r>
          </w:p>
        </w:tc>
        <w:tc>
          <w:tcPr>
            <w:tcW w:w="844" w:type="pct"/>
            <w:shd w:val="clear" w:color="auto" w:fill="1F497D" w:themeFill="text2"/>
            <w:vAlign w:val="center"/>
          </w:tcPr>
          <w:p w14:paraId="38D20A91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281" w:type="pct"/>
            <w:shd w:val="clear" w:color="auto" w:fill="1F497D" w:themeFill="text2"/>
            <w:vAlign w:val="center"/>
          </w:tcPr>
          <w:p w14:paraId="6CEC262E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394" w:type="pct"/>
            <w:shd w:val="clear" w:color="auto" w:fill="1F497D" w:themeFill="text2"/>
          </w:tcPr>
          <w:p w14:paraId="3A8193D2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210" w:type="pct"/>
            <w:shd w:val="clear" w:color="auto" w:fill="1F497D" w:themeFill="text2"/>
          </w:tcPr>
          <w:p w14:paraId="1810A25A" w14:textId="425A9646" w:rsidR="00FA7E07" w:rsidRPr="005601F2" w:rsidRDefault="00FA7E07" w:rsidP="00FA7E07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725" w:type="pct"/>
            <w:shd w:val="clear" w:color="auto" w:fill="1F497D" w:themeFill="text2"/>
          </w:tcPr>
          <w:p w14:paraId="51311FF9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</w:tr>
      <w:tr w:rsidR="00FA7E07" w:rsidRPr="005601F2" w14:paraId="620F714B" w14:textId="77777777" w:rsidTr="00AD5DEE">
        <w:trPr>
          <w:trHeight w:val="521"/>
          <w:jc w:val="center"/>
        </w:trPr>
        <w:tc>
          <w:tcPr>
            <w:tcW w:w="167" w:type="pct"/>
            <w:vAlign w:val="center"/>
          </w:tcPr>
          <w:p w14:paraId="0097820B" w14:textId="0D6BCD9A" w:rsidR="00FA7E07" w:rsidRPr="005601F2" w:rsidRDefault="00FA7E07" w:rsidP="00FA7E07">
            <w:pPr>
              <w:tabs>
                <w:tab w:val="left" w:pos="360"/>
              </w:tabs>
            </w:pPr>
            <w:bookmarkStart w:id="27" w:name="_Hlk178753710"/>
            <w:r w:rsidRPr="005601F2">
              <w:t>14.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D66BE10" w14:textId="0CA7C449" w:rsidR="00FA7E07" w:rsidRPr="005601F2" w:rsidRDefault="00FA7E07" w:rsidP="00FA7E07">
            <w:pPr>
              <w:rPr>
                <w:rFonts w:eastAsiaTheme="minorHAnsi"/>
              </w:rPr>
            </w:pPr>
            <w:bookmarkStart w:id="28" w:name="_Hlk135123389"/>
            <w:bookmarkStart w:id="29" w:name="_Hlk182991432"/>
            <w:r w:rsidRPr="005601F2">
              <w:rPr>
                <w:rFonts w:eastAsiaTheme="minorHAnsi"/>
              </w:rPr>
              <w:t>Pojednostaviti i uvesti elektronički postupak prijave stručnog ispita za voditelje poslova</w:t>
            </w:r>
            <w:bookmarkEnd w:id="28"/>
            <w:bookmarkEnd w:id="29"/>
            <w:r w:rsidRPr="005601F2">
              <w:rPr>
                <w:rFonts w:eastAsiaTheme="minorHAnsi"/>
              </w:rPr>
              <w:t xml:space="preserve"> turističkih agencija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72898515" w14:textId="55BA38DC" w:rsidR="00FA7E07" w:rsidRPr="005601F2" w:rsidRDefault="00FA7E07" w:rsidP="00FA7E07">
            <w:r w:rsidRPr="005601F2">
              <w:t>Ministarstvo turizma i sporta (MINTS)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6DAADE2" w14:textId="5FD18DB4" w:rsidR="00FA7E07" w:rsidRPr="005601F2" w:rsidRDefault="00FA7E07" w:rsidP="00FA7E07">
            <w:pPr>
              <w:rPr>
                <w:b/>
              </w:rPr>
            </w:pPr>
            <w:r w:rsidRPr="005601F2">
              <w:t>Q4/25</w:t>
            </w:r>
          </w:p>
        </w:tc>
        <w:tc>
          <w:tcPr>
            <w:tcW w:w="394" w:type="pct"/>
          </w:tcPr>
          <w:p w14:paraId="551047FF" w14:textId="77777777" w:rsidR="00A50CD6" w:rsidRDefault="00A50CD6" w:rsidP="00FA7E07"/>
          <w:p w14:paraId="45C1FE4C" w14:textId="3372C585" w:rsidR="00FA7E07" w:rsidRPr="005601F2" w:rsidRDefault="00FA7E07" w:rsidP="00FA7E07">
            <w:r w:rsidRPr="005601F2">
              <w:t>Svjetska banka</w:t>
            </w:r>
          </w:p>
        </w:tc>
        <w:tc>
          <w:tcPr>
            <w:tcW w:w="1210" w:type="pct"/>
          </w:tcPr>
          <w:p w14:paraId="3E4588D8" w14:textId="015DB319" w:rsidR="00FA7E07" w:rsidRPr="005601F2" w:rsidRDefault="00FA7E07" w:rsidP="00FA7E07">
            <w:pPr>
              <w:pStyle w:val="Defaul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5601F2">
              <w:rPr>
                <w:rFonts w:ascii="Times New Roman" w:hAnsi="Times New Roman" w:cs="Times New Roman"/>
                <w:iCs/>
                <w:color w:val="auto"/>
                <w:lang w:val="hr-HR"/>
              </w:rPr>
              <w:t xml:space="preserve">Poveznica na elektronički postupak objavit će se </w:t>
            </w:r>
            <w:r w:rsidRPr="005601F2">
              <w:rPr>
                <w:iCs/>
                <w:color w:val="auto"/>
                <w:lang w:val="pl-PL"/>
              </w:rPr>
              <w:t>na stranici Jedinstvene kontaktne točke za usluge (psc.hr).</w:t>
            </w:r>
          </w:p>
        </w:tc>
        <w:tc>
          <w:tcPr>
            <w:tcW w:w="725" w:type="pct"/>
          </w:tcPr>
          <w:p w14:paraId="0C9F9B24" w14:textId="2CA3DD55" w:rsidR="00FA7E07" w:rsidRPr="005601F2" w:rsidRDefault="00FA7E07" w:rsidP="00FA7E07">
            <w:r w:rsidRPr="005601F2">
              <w:t xml:space="preserve">Olakšat će se pristup tržištu </w:t>
            </w:r>
          </w:p>
        </w:tc>
      </w:tr>
      <w:tr w:rsidR="00FA7E07" w:rsidRPr="005601F2" w14:paraId="08831E59" w14:textId="77777777" w:rsidTr="00AD5DEE">
        <w:trPr>
          <w:trHeight w:val="251"/>
          <w:jc w:val="center"/>
        </w:trPr>
        <w:tc>
          <w:tcPr>
            <w:tcW w:w="167" w:type="pct"/>
            <w:shd w:val="clear" w:color="auto" w:fill="1F497D" w:themeFill="text2"/>
            <w:vAlign w:val="center"/>
          </w:tcPr>
          <w:p w14:paraId="0C65F997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379" w:type="pct"/>
            <w:shd w:val="clear" w:color="auto" w:fill="1F497D" w:themeFill="text2"/>
            <w:vAlign w:val="center"/>
          </w:tcPr>
          <w:p w14:paraId="3F24C270" w14:textId="2FC8C271" w:rsidR="00FA7E07" w:rsidRPr="005601F2" w:rsidRDefault="00FA7E07" w:rsidP="00FA7E07">
            <w:pPr>
              <w:rPr>
                <w:b/>
                <w:color w:val="FFFFFF" w:themeColor="background1"/>
              </w:rPr>
            </w:pPr>
            <w:r w:rsidRPr="005601F2">
              <w:rPr>
                <w:b/>
                <w:color w:val="FFFFFF" w:themeColor="background1"/>
              </w:rPr>
              <w:t>Turistički vodiči</w:t>
            </w:r>
          </w:p>
        </w:tc>
        <w:tc>
          <w:tcPr>
            <w:tcW w:w="844" w:type="pct"/>
            <w:shd w:val="clear" w:color="auto" w:fill="1F497D" w:themeFill="text2"/>
            <w:vAlign w:val="center"/>
          </w:tcPr>
          <w:p w14:paraId="00441F74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281" w:type="pct"/>
            <w:shd w:val="clear" w:color="auto" w:fill="1F497D" w:themeFill="text2"/>
            <w:vAlign w:val="center"/>
          </w:tcPr>
          <w:p w14:paraId="507753AC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394" w:type="pct"/>
            <w:shd w:val="clear" w:color="auto" w:fill="1F497D" w:themeFill="text2"/>
          </w:tcPr>
          <w:p w14:paraId="0CD1BF9C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210" w:type="pct"/>
            <w:shd w:val="clear" w:color="auto" w:fill="1F497D" w:themeFill="text2"/>
          </w:tcPr>
          <w:p w14:paraId="65B08887" w14:textId="77777777" w:rsidR="00FA7E07" w:rsidRPr="005601F2" w:rsidRDefault="00FA7E07" w:rsidP="00FA7E07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725" w:type="pct"/>
            <w:shd w:val="clear" w:color="auto" w:fill="1F497D" w:themeFill="text2"/>
          </w:tcPr>
          <w:p w14:paraId="4072A079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</w:tr>
      <w:tr w:rsidR="00FA7E07" w:rsidRPr="005601F2" w14:paraId="1CA51F84" w14:textId="77777777" w:rsidTr="00AD5DEE">
        <w:trPr>
          <w:trHeight w:val="521"/>
          <w:jc w:val="center"/>
        </w:trPr>
        <w:tc>
          <w:tcPr>
            <w:tcW w:w="167" w:type="pct"/>
            <w:vAlign w:val="center"/>
          </w:tcPr>
          <w:p w14:paraId="292FEE63" w14:textId="781525CC" w:rsidR="00FA7E07" w:rsidRPr="005601F2" w:rsidRDefault="00FA7E07" w:rsidP="00FA7E07">
            <w:pPr>
              <w:tabs>
                <w:tab w:val="left" w:pos="360"/>
              </w:tabs>
            </w:pPr>
            <w:r w:rsidRPr="005601F2">
              <w:t>15.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ED90C54" w14:textId="32583AB1" w:rsidR="00FA7E07" w:rsidRPr="005601F2" w:rsidRDefault="00FA7E07" w:rsidP="00FA7E07">
            <w:pPr>
              <w:rPr>
                <w:rFonts w:eastAsiaTheme="minorHAnsi"/>
              </w:rPr>
            </w:pPr>
            <w:r w:rsidRPr="005601F2">
              <w:t xml:space="preserve">Otvoriti mogućnost pružanja usluga turističkim vodičima iz država pristupnica OECD-ovog Kodeksa o liberalizaciji kretanja kapitala i </w:t>
            </w:r>
            <w:r>
              <w:t>K</w:t>
            </w:r>
            <w:r w:rsidRPr="005601F2">
              <w:t>odeksa o liberalizaciji nevidljivih transakcija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0C5A6087" w14:textId="1DBC440B" w:rsidR="00FA7E07" w:rsidRPr="005601F2" w:rsidRDefault="00FA7E07" w:rsidP="00FA7E07">
            <w:r w:rsidRPr="005601F2">
              <w:t>Ministarstvo turizma i sporta (MINTS)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235E4DA" w14:textId="4B23B2F9" w:rsidR="00FA7E07" w:rsidRPr="005601F2" w:rsidRDefault="00FA7E07" w:rsidP="00FA7E07">
            <w:pPr>
              <w:rPr>
                <w:b/>
              </w:rPr>
            </w:pPr>
            <w:r w:rsidRPr="005601F2">
              <w:t>Q2/25</w:t>
            </w:r>
          </w:p>
        </w:tc>
        <w:tc>
          <w:tcPr>
            <w:tcW w:w="394" w:type="pct"/>
          </w:tcPr>
          <w:p w14:paraId="68992F72" w14:textId="77777777" w:rsidR="00FA7E07" w:rsidRPr="005601F2" w:rsidRDefault="00FA7E07" w:rsidP="00FA7E07"/>
          <w:p w14:paraId="35069FA0" w14:textId="77777777" w:rsidR="00FA7E07" w:rsidRPr="005601F2" w:rsidRDefault="00FA7E07" w:rsidP="00FA7E07">
            <w:r w:rsidRPr="005601F2">
              <w:t>Svjetska banka</w:t>
            </w:r>
          </w:p>
        </w:tc>
        <w:tc>
          <w:tcPr>
            <w:tcW w:w="1210" w:type="pct"/>
          </w:tcPr>
          <w:p w14:paraId="5A269889" w14:textId="3CDA112D" w:rsidR="00FA7E07" w:rsidRPr="00A50CD6" w:rsidRDefault="00FA7E07" w:rsidP="00FA7E07">
            <w:pPr>
              <w:pStyle w:val="Defaul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5601F2">
              <w:rPr>
                <w:rFonts w:ascii="Times New Roman" w:hAnsi="Times New Roman" w:cs="Times New Roman"/>
                <w:color w:val="auto"/>
                <w:lang w:val="hr-HR"/>
              </w:rPr>
              <w:t xml:space="preserve">Zakon o pružanju usluga u turizmu / </w:t>
            </w:r>
            <w:r w:rsidRPr="005601F2">
              <w:rPr>
                <w:rFonts w:ascii="Times New Roman" w:hAnsi="Times New Roman" w:cs="Times New Roman"/>
                <w:color w:val="auto"/>
                <w:lang w:val="pl-PL"/>
              </w:rPr>
              <w:t xml:space="preserve">Kodeks o liberalizaciji kretanja kapitala i </w:t>
            </w:r>
            <w:r>
              <w:rPr>
                <w:rFonts w:ascii="Times New Roman" w:hAnsi="Times New Roman" w:cs="Times New Roman"/>
                <w:color w:val="auto"/>
                <w:lang w:val="pl-PL"/>
              </w:rPr>
              <w:t>K</w:t>
            </w:r>
            <w:r w:rsidRPr="005601F2">
              <w:rPr>
                <w:rFonts w:ascii="Times New Roman" w:hAnsi="Times New Roman" w:cs="Times New Roman"/>
                <w:color w:val="auto"/>
                <w:lang w:val="pl-PL"/>
              </w:rPr>
              <w:t>odeks o liberalizaciji nevidljivih transakcija</w:t>
            </w:r>
          </w:p>
        </w:tc>
        <w:tc>
          <w:tcPr>
            <w:tcW w:w="725" w:type="pct"/>
          </w:tcPr>
          <w:p w14:paraId="15B6B0B0" w14:textId="219175FA" w:rsidR="00FA7E07" w:rsidRPr="005601F2" w:rsidRDefault="00FA7E07" w:rsidP="00FA7E07">
            <w:r w:rsidRPr="005601F2">
              <w:t xml:space="preserve">Omogućit će se veća tržišna konkurencija </w:t>
            </w:r>
          </w:p>
        </w:tc>
      </w:tr>
      <w:tr w:rsidR="00FA7E07" w:rsidRPr="005601F2" w14:paraId="57756B7A" w14:textId="77777777" w:rsidTr="00AD5DEE">
        <w:trPr>
          <w:trHeight w:val="251"/>
          <w:jc w:val="center"/>
        </w:trPr>
        <w:tc>
          <w:tcPr>
            <w:tcW w:w="167" w:type="pct"/>
            <w:shd w:val="clear" w:color="auto" w:fill="1F497D" w:themeFill="text2"/>
            <w:vAlign w:val="center"/>
          </w:tcPr>
          <w:p w14:paraId="43EDC442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379" w:type="pct"/>
            <w:shd w:val="clear" w:color="auto" w:fill="1F497D" w:themeFill="text2"/>
            <w:vAlign w:val="center"/>
          </w:tcPr>
          <w:p w14:paraId="138EE049" w14:textId="271D98D3" w:rsidR="00FA7E07" w:rsidRPr="005601F2" w:rsidRDefault="00FA7E07" w:rsidP="00FA7E07">
            <w:pPr>
              <w:rPr>
                <w:b/>
                <w:color w:val="FFFFFF" w:themeColor="background1"/>
              </w:rPr>
            </w:pPr>
            <w:r w:rsidRPr="005601F2">
              <w:rPr>
                <w:b/>
                <w:color w:val="FFFFFF" w:themeColor="background1"/>
              </w:rPr>
              <w:t>Arhitekti</w:t>
            </w:r>
          </w:p>
        </w:tc>
        <w:tc>
          <w:tcPr>
            <w:tcW w:w="844" w:type="pct"/>
            <w:shd w:val="clear" w:color="auto" w:fill="1F497D" w:themeFill="text2"/>
            <w:vAlign w:val="center"/>
          </w:tcPr>
          <w:p w14:paraId="6B3F0EDC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281" w:type="pct"/>
            <w:shd w:val="clear" w:color="auto" w:fill="1F497D" w:themeFill="text2"/>
            <w:vAlign w:val="center"/>
          </w:tcPr>
          <w:p w14:paraId="6D29EC8E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394" w:type="pct"/>
            <w:shd w:val="clear" w:color="auto" w:fill="1F497D" w:themeFill="text2"/>
          </w:tcPr>
          <w:p w14:paraId="7C64ED4E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210" w:type="pct"/>
            <w:shd w:val="clear" w:color="auto" w:fill="1F497D" w:themeFill="text2"/>
          </w:tcPr>
          <w:p w14:paraId="46F0D4ED" w14:textId="77777777" w:rsidR="00FA7E07" w:rsidRPr="005601F2" w:rsidRDefault="00FA7E07" w:rsidP="00FA7E07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725" w:type="pct"/>
            <w:shd w:val="clear" w:color="auto" w:fill="1F497D" w:themeFill="text2"/>
          </w:tcPr>
          <w:p w14:paraId="20257139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</w:tr>
      <w:tr w:rsidR="00FA7E07" w:rsidRPr="005601F2" w14:paraId="6BF0D9C2" w14:textId="77777777" w:rsidTr="00AD5DEE">
        <w:trPr>
          <w:trHeight w:val="521"/>
          <w:jc w:val="center"/>
        </w:trPr>
        <w:tc>
          <w:tcPr>
            <w:tcW w:w="167" w:type="pct"/>
            <w:vAlign w:val="center"/>
          </w:tcPr>
          <w:p w14:paraId="2EC1C058" w14:textId="1E216236" w:rsidR="00FA7E07" w:rsidRPr="005601F2" w:rsidRDefault="00FA7E07" w:rsidP="00FA7E07">
            <w:pPr>
              <w:tabs>
                <w:tab w:val="left" w:pos="360"/>
              </w:tabs>
            </w:pPr>
            <w:r w:rsidRPr="005601F2">
              <w:t>16.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9FCAD55" w14:textId="77777777" w:rsidR="00FA7E07" w:rsidRPr="005601F2" w:rsidRDefault="00FA7E07" w:rsidP="00FA7E07">
            <w:r w:rsidRPr="005601F2">
              <w:t>Pojednostaviti i uvesti elektronički postupak prijave stručnog ispita za osobe arhitektonske struke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0A38A4F4" w14:textId="27808D9C" w:rsidR="00FA7E07" w:rsidRPr="005601F2" w:rsidRDefault="00FA7E07" w:rsidP="00FA7E07">
            <w:r w:rsidRPr="005601F2">
              <w:t>Ministarstvo prostornoga uređenja, graditeljstva i državne imovine</w:t>
            </w:r>
          </w:p>
          <w:p w14:paraId="127D7D32" w14:textId="255C97F0" w:rsidR="00FA7E07" w:rsidRPr="005601F2" w:rsidRDefault="00FA7E07" w:rsidP="00FA7E07">
            <w:r w:rsidRPr="005601F2">
              <w:t>(MPGI)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338B2EA" w14:textId="603A988F" w:rsidR="00FA7E07" w:rsidRPr="005601F2" w:rsidRDefault="00FA7E07" w:rsidP="00FA7E07">
            <w:r w:rsidRPr="005601F2">
              <w:t>Q4/25</w:t>
            </w:r>
          </w:p>
        </w:tc>
        <w:tc>
          <w:tcPr>
            <w:tcW w:w="394" w:type="pct"/>
          </w:tcPr>
          <w:p w14:paraId="3E5FF1ED" w14:textId="6AE362A0" w:rsidR="00FA7E07" w:rsidRPr="005601F2" w:rsidRDefault="00FA7E07" w:rsidP="00FA7E07"/>
        </w:tc>
        <w:tc>
          <w:tcPr>
            <w:tcW w:w="1210" w:type="pct"/>
          </w:tcPr>
          <w:p w14:paraId="01D0DCEE" w14:textId="31AB88DB" w:rsidR="00FA7E07" w:rsidRPr="005601F2" w:rsidRDefault="00FA7E07" w:rsidP="00FA7E07">
            <w:pPr>
              <w:pStyle w:val="Defaul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  <w:lang w:val="hr-HR"/>
              </w:rPr>
            </w:pPr>
            <w:r w:rsidRPr="005601F2">
              <w:rPr>
                <w:rFonts w:ascii="Times New Roman" w:hAnsi="Times New Roman" w:cs="Times New Roman"/>
                <w:color w:val="auto"/>
                <w:shd w:val="clear" w:color="auto" w:fill="FFFFFF"/>
                <w:lang w:val="hr-HR"/>
              </w:rPr>
              <w:t xml:space="preserve">Pravilnik o stručnom ispitu osoba koje obavljaju poslove graditeljstva i prostornoga uređenja / </w:t>
            </w:r>
            <w:r w:rsidRPr="005601F2">
              <w:rPr>
                <w:rFonts w:ascii="Times New Roman" w:hAnsi="Times New Roman" w:cs="Times New Roman"/>
                <w:iCs/>
                <w:color w:val="auto"/>
                <w:lang w:val="hr-HR"/>
              </w:rPr>
              <w:t>Poveznica na e</w:t>
            </w:r>
            <w:r w:rsidR="00A50CD6">
              <w:rPr>
                <w:rFonts w:ascii="Times New Roman" w:hAnsi="Times New Roman" w:cs="Times New Roman"/>
                <w:iCs/>
                <w:color w:val="auto"/>
                <w:lang w:val="hr-HR"/>
              </w:rPr>
              <w:t>-</w:t>
            </w:r>
            <w:r w:rsidRPr="005601F2">
              <w:rPr>
                <w:rFonts w:ascii="Times New Roman" w:hAnsi="Times New Roman" w:cs="Times New Roman"/>
                <w:iCs/>
                <w:color w:val="auto"/>
                <w:lang w:val="hr-HR"/>
              </w:rPr>
              <w:t xml:space="preserve">postupak objavit će se </w:t>
            </w:r>
            <w:r w:rsidRPr="005601F2">
              <w:rPr>
                <w:iCs/>
                <w:color w:val="auto"/>
                <w:lang w:val="hr-HR"/>
              </w:rPr>
              <w:t>na stranici Jedinstvene kontaktne točke za usluge (psc.hr).</w:t>
            </w:r>
          </w:p>
        </w:tc>
        <w:tc>
          <w:tcPr>
            <w:tcW w:w="725" w:type="pct"/>
          </w:tcPr>
          <w:p w14:paraId="44B8430B" w14:textId="67A4D416" w:rsidR="00FA7E07" w:rsidRPr="005601F2" w:rsidRDefault="00FA7E07" w:rsidP="00FA7E07">
            <w:r w:rsidRPr="005601F2">
              <w:t xml:space="preserve">Olakšat će se pristup tržištu </w:t>
            </w:r>
          </w:p>
        </w:tc>
      </w:tr>
      <w:tr w:rsidR="00FA7E07" w:rsidRPr="005601F2" w14:paraId="4BB56C7B" w14:textId="77777777" w:rsidTr="00AD5DEE">
        <w:trPr>
          <w:trHeight w:val="251"/>
          <w:jc w:val="center"/>
        </w:trPr>
        <w:tc>
          <w:tcPr>
            <w:tcW w:w="167" w:type="pct"/>
            <w:shd w:val="clear" w:color="auto" w:fill="1F497D" w:themeFill="text2"/>
            <w:vAlign w:val="center"/>
          </w:tcPr>
          <w:p w14:paraId="11DED360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379" w:type="pct"/>
            <w:shd w:val="clear" w:color="auto" w:fill="1F497D" w:themeFill="text2"/>
            <w:vAlign w:val="center"/>
          </w:tcPr>
          <w:p w14:paraId="2C5FD2EE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  <w:r w:rsidRPr="005601F2">
              <w:rPr>
                <w:b/>
                <w:color w:val="FFFFFF" w:themeColor="background1"/>
              </w:rPr>
              <w:t xml:space="preserve">Inženjeri </w:t>
            </w:r>
          </w:p>
        </w:tc>
        <w:tc>
          <w:tcPr>
            <w:tcW w:w="844" w:type="pct"/>
            <w:shd w:val="clear" w:color="auto" w:fill="1F497D" w:themeFill="text2"/>
            <w:vAlign w:val="center"/>
          </w:tcPr>
          <w:p w14:paraId="732BD21E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281" w:type="pct"/>
            <w:shd w:val="clear" w:color="auto" w:fill="1F497D" w:themeFill="text2"/>
            <w:vAlign w:val="center"/>
          </w:tcPr>
          <w:p w14:paraId="7328CB0C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394" w:type="pct"/>
            <w:shd w:val="clear" w:color="auto" w:fill="1F497D" w:themeFill="text2"/>
          </w:tcPr>
          <w:p w14:paraId="7F0278D3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210" w:type="pct"/>
            <w:shd w:val="clear" w:color="auto" w:fill="1F497D" w:themeFill="text2"/>
          </w:tcPr>
          <w:p w14:paraId="1CE24565" w14:textId="77777777" w:rsidR="00FA7E07" w:rsidRPr="005601F2" w:rsidRDefault="00FA7E07" w:rsidP="00FA7E07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725" w:type="pct"/>
            <w:shd w:val="clear" w:color="auto" w:fill="1F497D" w:themeFill="text2"/>
          </w:tcPr>
          <w:p w14:paraId="2F8CE838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</w:tr>
      <w:tr w:rsidR="00FA7E07" w:rsidRPr="005601F2" w14:paraId="77B3BCD7" w14:textId="77777777" w:rsidTr="00AD5DEE">
        <w:trPr>
          <w:trHeight w:val="251"/>
          <w:jc w:val="center"/>
        </w:trPr>
        <w:tc>
          <w:tcPr>
            <w:tcW w:w="167" w:type="pct"/>
            <w:vAlign w:val="center"/>
          </w:tcPr>
          <w:p w14:paraId="0A0F971C" w14:textId="74A34C21" w:rsidR="00FA7E07" w:rsidRPr="005601F2" w:rsidRDefault="00FA7E07" w:rsidP="00FA7E07">
            <w:pPr>
              <w:tabs>
                <w:tab w:val="left" w:pos="360"/>
              </w:tabs>
            </w:pPr>
            <w:r w:rsidRPr="005601F2">
              <w:t>17.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324BA48" w14:textId="7224F07F" w:rsidR="00FA7E07" w:rsidRPr="005601F2" w:rsidRDefault="00FA7E07" w:rsidP="00FA7E07">
            <w:r w:rsidRPr="005601F2">
              <w:t>Pojednostaviti i uvesti elektronički postupak prijave stručnog ispita za osobe građevinske, elektrotehničke i strojarske struke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586ABFDA" w14:textId="77777777" w:rsidR="00FA7E07" w:rsidRPr="005601F2" w:rsidRDefault="00FA7E07" w:rsidP="00FA7E07">
            <w:r w:rsidRPr="005601F2">
              <w:t>Ministarstvo prostornoga uređenja, graditeljstva i državne imovine</w:t>
            </w:r>
          </w:p>
          <w:p w14:paraId="25BBE7C3" w14:textId="37CCB31B" w:rsidR="00FA7E07" w:rsidRPr="005601F2" w:rsidRDefault="00FA7E07" w:rsidP="00FA7E07">
            <w:r w:rsidRPr="005601F2">
              <w:t>(MPGI)</w:t>
            </w:r>
          </w:p>
        </w:tc>
        <w:tc>
          <w:tcPr>
            <w:tcW w:w="281" w:type="pct"/>
            <w:vAlign w:val="center"/>
          </w:tcPr>
          <w:p w14:paraId="34B6F8CF" w14:textId="1BF487FD" w:rsidR="00FA7E07" w:rsidRPr="005601F2" w:rsidRDefault="00FA7E07" w:rsidP="00FA7E07">
            <w:r w:rsidRPr="005601F2">
              <w:t>Q4/25</w:t>
            </w:r>
          </w:p>
        </w:tc>
        <w:tc>
          <w:tcPr>
            <w:tcW w:w="394" w:type="pct"/>
            <w:vAlign w:val="center"/>
          </w:tcPr>
          <w:p w14:paraId="6A73F649" w14:textId="3702D66A" w:rsidR="00FA7E07" w:rsidRPr="005601F2" w:rsidRDefault="00FA7E07" w:rsidP="00FA7E07"/>
        </w:tc>
        <w:tc>
          <w:tcPr>
            <w:tcW w:w="1210" w:type="pct"/>
          </w:tcPr>
          <w:p w14:paraId="7DBC4D98" w14:textId="207026F9" w:rsidR="00FA7E07" w:rsidRPr="005601F2" w:rsidRDefault="00FA7E07" w:rsidP="00FA7E07">
            <w:pPr>
              <w:pStyle w:val="Defaul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  <w:lang w:val="hr-HR"/>
              </w:rPr>
            </w:pPr>
            <w:r w:rsidRPr="005601F2">
              <w:rPr>
                <w:rFonts w:ascii="Times New Roman" w:hAnsi="Times New Roman" w:cs="Times New Roman"/>
                <w:color w:val="auto"/>
                <w:shd w:val="clear" w:color="auto" w:fill="FFFFFF"/>
                <w:lang w:val="hr-HR"/>
              </w:rPr>
              <w:t xml:space="preserve">Pravilnik o stručnom ispitu osoba koje obavljaju poslove graditeljstva i prostornoga uređenja / </w:t>
            </w:r>
            <w:r w:rsidRPr="005601F2">
              <w:rPr>
                <w:rFonts w:ascii="Times New Roman" w:hAnsi="Times New Roman" w:cs="Times New Roman"/>
                <w:iCs/>
                <w:color w:val="auto"/>
                <w:lang w:val="hr-HR"/>
              </w:rPr>
              <w:t xml:space="preserve">Poveznica na elektronički postupak objavit će se </w:t>
            </w:r>
            <w:r w:rsidRPr="005601F2">
              <w:rPr>
                <w:iCs/>
                <w:color w:val="auto"/>
                <w:lang w:val="hr-HR"/>
              </w:rPr>
              <w:t>na stranici Jedinstvene kontaktne točke za usluge (psc.hr).</w:t>
            </w:r>
          </w:p>
        </w:tc>
        <w:tc>
          <w:tcPr>
            <w:tcW w:w="725" w:type="pct"/>
          </w:tcPr>
          <w:p w14:paraId="3BF9C2D2" w14:textId="2A6B0B7F" w:rsidR="00FA7E07" w:rsidRPr="005601F2" w:rsidRDefault="00FA7E07" w:rsidP="00FA7E07">
            <w:r w:rsidRPr="005601F2">
              <w:t xml:space="preserve">Olakšat će se pristup tržištu </w:t>
            </w:r>
          </w:p>
        </w:tc>
      </w:tr>
      <w:bookmarkEnd w:id="27"/>
      <w:tr w:rsidR="00FA7E07" w:rsidRPr="005601F2" w14:paraId="4C0825EE" w14:textId="77777777" w:rsidTr="00AD5DEE">
        <w:trPr>
          <w:trHeight w:val="251"/>
          <w:jc w:val="center"/>
        </w:trPr>
        <w:tc>
          <w:tcPr>
            <w:tcW w:w="167" w:type="pct"/>
            <w:shd w:val="clear" w:color="auto" w:fill="1F497D" w:themeFill="text2"/>
            <w:vAlign w:val="center"/>
          </w:tcPr>
          <w:p w14:paraId="76DBDC06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379" w:type="pct"/>
            <w:shd w:val="clear" w:color="auto" w:fill="1F497D" w:themeFill="text2"/>
            <w:vAlign w:val="center"/>
          </w:tcPr>
          <w:p w14:paraId="6B94CE7C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  <w:r w:rsidRPr="005601F2">
              <w:rPr>
                <w:b/>
                <w:color w:val="FFFFFF" w:themeColor="background1"/>
              </w:rPr>
              <w:t xml:space="preserve">Psiholozi </w:t>
            </w:r>
          </w:p>
        </w:tc>
        <w:tc>
          <w:tcPr>
            <w:tcW w:w="844" w:type="pct"/>
            <w:shd w:val="clear" w:color="auto" w:fill="1F497D" w:themeFill="text2"/>
            <w:vAlign w:val="center"/>
          </w:tcPr>
          <w:p w14:paraId="46C25213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281" w:type="pct"/>
            <w:shd w:val="clear" w:color="auto" w:fill="1F497D" w:themeFill="text2"/>
            <w:vAlign w:val="center"/>
          </w:tcPr>
          <w:p w14:paraId="27D37374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394" w:type="pct"/>
            <w:shd w:val="clear" w:color="auto" w:fill="1F497D" w:themeFill="text2"/>
          </w:tcPr>
          <w:p w14:paraId="7600E6BB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210" w:type="pct"/>
            <w:shd w:val="clear" w:color="auto" w:fill="1F497D" w:themeFill="text2"/>
          </w:tcPr>
          <w:p w14:paraId="1BA0799D" w14:textId="77777777" w:rsidR="00FA7E07" w:rsidRPr="005601F2" w:rsidRDefault="00FA7E07" w:rsidP="00FA7E07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725" w:type="pct"/>
            <w:shd w:val="clear" w:color="auto" w:fill="1F497D" w:themeFill="text2"/>
          </w:tcPr>
          <w:p w14:paraId="7666423D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</w:tr>
      <w:tr w:rsidR="00FA7E07" w:rsidRPr="005601F2" w:rsidDel="00436E88" w14:paraId="3F9599FD" w14:textId="77777777" w:rsidTr="00AD5DEE">
        <w:trPr>
          <w:trHeight w:val="555"/>
          <w:jc w:val="center"/>
        </w:trPr>
        <w:tc>
          <w:tcPr>
            <w:tcW w:w="167" w:type="pct"/>
            <w:vAlign w:val="center"/>
          </w:tcPr>
          <w:p w14:paraId="720E0999" w14:textId="6DE403FF" w:rsidR="00FA7E07" w:rsidRPr="005601F2" w:rsidDel="00436E88" w:rsidRDefault="00FA7E07" w:rsidP="00FA7E07">
            <w:pPr>
              <w:tabs>
                <w:tab w:val="left" w:pos="360"/>
              </w:tabs>
            </w:pPr>
            <w:bookmarkStart w:id="30" w:name="_Hlk182991463"/>
            <w:r w:rsidRPr="005601F2">
              <w:t>18.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F932620" w14:textId="4FBDB2B7" w:rsidR="00FA7E07" w:rsidRPr="005601F2" w:rsidDel="00436E88" w:rsidRDefault="00FA7E07" w:rsidP="00FA7E07">
            <w:r w:rsidRPr="005601F2">
              <w:t>Ukinuti obvezu dostave dokaza o nekažnjavanju za psihologe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6B2A50B2" w14:textId="1DC5DBE8" w:rsidR="00FA7E07" w:rsidRPr="005601F2" w:rsidDel="00436E88" w:rsidRDefault="00FA7E07" w:rsidP="00FA7E07">
            <w:r w:rsidRPr="005601F2">
              <w:t>Ministarstvo rada, mirovinskoga sustava, obitelji i socijalne politike (MROSP)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166A9E9" w14:textId="44A93F46" w:rsidR="00FA7E07" w:rsidRPr="005601F2" w:rsidDel="00436E88" w:rsidRDefault="00FA7E07" w:rsidP="00FA7E07">
            <w:pPr>
              <w:rPr>
                <w:b/>
                <w:bCs/>
              </w:rPr>
            </w:pPr>
            <w:r w:rsidRPr="005601F2">
              <w:t>Q2/25</w:t>
            </w:r>
          </w:p>
        </w:tc>
        <w:tc>
          <w:tcPr>
            <w:tcW w:w="394" w:type="pct"/>
          </w:tcPr>
          <w:p w14:paraId="6A912330" w14:textId="4593D92F" w:rsidR="00FA7E07" w:rsidRPr="005601F2" w:rsidDel="00436E88" w:rsidRDefault="00FA7E07" w:rsidP="00FA7E07"/>
        </w:tc>
        <w:tc>
          <w:tcPr>
            <w:tcW w:w="1210" w:type="pct"/>
          </w:tcPr>
          <w:p w14:paraId="5CFFD695" w14:textId="56718A84" w:rsidR="00FA7E07" w:rsidRPr="005601F2" w:rsidDel="00436E88" w:rsidRDefault="00FA7E07" w:rsidP="00FA7E07">
            <w:pPr>
              <w:pStyle w:val="CommentText"/>
              <w:jc w:val="both"/>
              <w:rPr>
                <w:sz w:val="24"/>
                <w:szCs w:val="24"/>
              </w:rPr>
            </w:pPr>
            <w:r w:rsidRPr="005601F2">
              <w:rPr>
                <w:sz w:val="24"/>
                <w:szCs w:val="24"/>
              </w:rPr>
              <w:t>Ukida se obveza dostave dokaza, dok provjera ostaje. Obveza se planira ukloniti kroz administrativnu uputu i brisanje na stranici Jedinstvene kontaktne točke za usluge (psc.hr).</w:t>
            </w:r>
          </w:p>
        </w:tc>
        <w:tc>
          <w:tcPr>
            <w:tcW w:w="725" w:type="pct"/>
          </w:tcPr>
          <w:p w14:paraId="5DD7EC6A" w14:textId="7B5942F8" w:rsidR="00FA7E07" w:rsidRPr="005601F2" w:rsidDel="00436E88" w:rsidRDefault="00FA7E07" w:rsidP="00FA7E07">
            <w:r w:rsidRPr="005601F2">
              <w:t>Smanjit će se opseg dokumentacije</w:t>
            </w:r>
          </w:p>
        </w:tc>
      </w:tr>
      <w:bookmarkEnd w:id="30"/>
      <w:tr w:rsidR="00FA7E07" w:rsidRPr="005601F2" w14:paraId="286E0E05" w14:textId="77777777" w:rsidTr="00AD5DEE">
        <w:trPr>
          <w:trHeight w:val="251"/>
          <w:jc w:val="center"/>
        </w:trPr>
        <w:tc>
          <w:tcPr>
            <w:tcW w:w="167" w:type="pct"/>
            <w:shd w:val="clear" w:color="auto" w:fill="1F497D" w:themeFill="text2"/>
            <w:vAlign w:val="center"/>
          </w:tcPr>
          <w:p w14:paraId="2621B16F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379" w:type="pct"/>
            <w:shd w:val="clear" w:color="auto" w:fill="1F497D" w:themeFill="text2"/>
            <w:vAlign w:val="center"/>
          </w:tcPr>
          <w:p w14:paraId="75A0BA06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  <w:r w:rsidRPr="005601F2">
              <w:rPr>
                <w:b/>
                <w:color w:val="FFFFFF" w:themeColor="background1"/>
              </w:rPr>
              <w:t>Socijalni pedagozi</w:t>
            </w:r>
          </w:p>
        </w:tc>
        <w:tc>
          <w:tcPr>
            <w:tcW w:w="844" w:type="pct"/>
            <w:shd w:val="clear" w:color="auto" w:fill="1F497D" w:themeFill="text2"/>
            <w:vAlign w:val="center"/>
          </w:tcPr>
          <w:p w14:paraId="320D7C0E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281" w:type="pct"/>
            <w:shd w:val="clear" w:color="auto" w:fill="1F497D" w:themeFill="text2"/>
            <w:vAlign w:val="center"/>
          </w:tcPr>
          <w:p w14:paraId="4A5CF2F0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394" w:type="pct"/>
            <w:shd w:val="clear" w:color="auto" w:fill="1F497D" w:themeFill="text2"/>
          </w:tcPr>
          <w:p w14:paraId="6AE0B076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210" w:type="pct"/>
            <w:shd w:val="clear" w:color="auto" w:fill="1F497D" w:themeFill="text2"/>
          </w:tcPr>
          <w:p w14:paraId="48DE7F73" w14:textId="77777777" w:rsidR="00FA7E07" w:rsidRPr="005601F2" w:rsidRDefault="00FA7E07" w:rsidP="00FA7E07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725" w:type="pct"/>
            <w:shd w:val="clear" w:color="auto" w:fill="1F497D" w:themeFill="text2"/>
          </w:tcPr>
          <w:p w14:paraId="1ACC3DDD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</w:tr>
      <w:tr w:rsidR="00FA7E07" w:rsidRPr="005601F2" w14:paraId="53529E2B" w14:textId="77777777" w:rsidTr="00AD5DEE">
        <w:trPr>
          <w:trHeight w:val="555"/>
          <w:jc w:val="center"/>
        </w:trPr>
        <w:tc>
          <w:tcPr>
            <w:tcW w:w="167" w:type="pct"/>
            <w:vAlign w:val="center"/>
          </w:tcPr>
          <w:p w14:paraId="211C9B47" w14:textId="6F87FF9D" w:rsidR="00FA7E07" w:rsidRPr="005601F2" w:rsidRDefault="00FA7E07" w:rsidP="00FA7E07">
            <w:pPr>
              <w:tabs>
                <w:tab w:val="left" w:pos="360"/>
              </w:tabs>
            </w:pPr>
            <w:r w:rsidRPr="005601F2">
              <w:lastRenderedPageBreak/>
              <w:t>19.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17DB4E1" w14:textId="3FDD72A6" w:rsidR="00FA7E07" w:rsidRPr="005601F2" w:rsidRDefault="00FA7E07" w:rsidP="00FA7E07">
            <w:r w:rsidRPr="005601F2">
              <w:t>Ukinuti obvezu dostave dokaza o nekažnjavanju za socijalne pedagoge</w:t>
            </w:r>
          </w:p>
          <w:p w14:paraId="2E90FD85" w14:textId="77777777" w:rsidR="00FA7E07" w:rsidRPr="005601F2" w:rsidRDefault="00FA7E07" w:rsidP="00FA7E07"/>
        </w:tc>
        <w:tc>
          <w:tcPr>
            <w:tcW w:w="844" w:type="pct"/>
            <w:shd w:val="clear" w:color="auto" w:fill="auto"/>
            <w:vAlign w:val="center"/>
          </w:tcPr>
          <w:p w14:paraId="0B5AB2BC" w14:textId="39F4BBC9" w:rsidR="00FA7E07" w:rsidRPr="005601F2" w:rsidRDefault="00FA7E07" w:rsidP="00FA7E07">
            <w:r w:rsidRPr="005601F2">
              <w:t>Ministarstvo rada, mirovinskoga sustava, obitelji i socijalne politike (MROSP)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572DCFC" w14:textId="710ACEB3" w:rsidR="00FA7E07" w:rsidRPr="005601F2" w:rsidRDefault="00FA7E07" w:rsidP="00FA7E07">
            <w:r w:rsidRPr="005601F2">
              <w:t>Q2/25</w:t>
            </w:r>
          </w:p>
        </w:tc>
        <w:tc>
          <w:tcPr>
            <w:tcW w:w="394" w:type="pct"/>
          </w:tcPr>
          <w:p w14:paraId="0ED443AC" w14:textId="76CC3856" w:rsidR="00FA7E07" w:rsidRPr="005601F2" w:rsidRDefault="00FA7E07" w:rsidP="00FA7E07"/>
        </w:tc>
        <w:tc>
          <w:tcPr>
            <w:tcW w:w="1210" w:type="pct"/>
          </w:tcPr>
          <w:p w14:paraId="05389F6E" w14:textId="30A41A9C" w:rsidR="00FA7E07" w:rsidRPr="005601F2" w:rsidRDefault="00FA7E07" w:rsidP="00FA7E07">
            <w:pPr>
              <w:pStyle w:val="CommentText"/>
              <w:jc w:val="both"/>
              <w:rPr>
                <w:sz w:val="24"/>
                <w:szCs w:val="24"/>
              </w:rPr>
            </w:pPr>
            <w:r w:rsidRPr="005601F2">
              <w:rPr>
                <w:sz w:val="24"/>
                <w:szCs w:val="24"/>
              </w:rPr>
              <w:t>Ukida se obveza dostave dokaza, dok provjera ostaje. Obveza se planira ukloniti kroz administrativnu uputu i brisanje na stranici Jedinstvene kontaktne točke za usluge (psc.hr).</w:t>
            </w:r>
          </w:p>
        </w:tc>
        <w:tc>
          <w:tcPr>
            <w:tcW w:w="725" w:type="pct"/>
          </w:tcPr>
          <w:p w14:paraId="6848FE59" w14:textId="0E66084E" w:rsidR="00FA7E07" w:rsidRPr="005601F2" w:rsidRDefault="00FA7E07" w:rsidP="00FA7E07">
            <w:r w:rsidRPr="005601F2">
              <w:t>Smanjit će se opseg dokumentacije</w:t>
            </w:r>
          </w:p>
        </w:tc>
      </w:tr>
      <w:tr w:rsidR="00FA7E07" w:rsidRPr="005601F2" w14:paraId="17A16CF9" w14:textId="77777777" w:rsidTr="00AD5DEE">
        <w:trPr>
          <w:trHeight w:val="251"/>
          <w:jc w:val="center"/>
        </w:trPr>
        <w:tc>
          <w:tcPr>
            <w:tcW w:w="167" w:type="pct"/>
            <w:shd w:val="clear" w:color="auto" w:fill="1F497D" w:themeFill="text2"/>
            <w:vAlign w:val="center"/>
          </w:tcPr>
          <w:p w14:paraId="4AB0B9CE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379" w:type="pct"/>
            <w:shd w:val="clear" w:color="auto" w:fill="1F497D" w:themeFill="text2"/>
            <w:vAlign w:val="center"/>
          </w:tcPr>
          <w:p w14:paraId="78D4F9E3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  <w:r w:rsidRPr="005601F2">
              <w:rPr>
                <w:b/>
                <w:color w:val="FFFFFF" w:themeColor="background1"/>
              </w:rPr>
              <w:t>Socijalni radnici</w:t>
            </w:r>
          </w:p>
        </w:tc>
        <w:tc>
          <w:tcPr>
            <w:tcW w:w="844" w:type="pct"/>
            <w:shd w:val="clear" w:color="auto" w:fill="1F497D" w:themeFill="text2"/>
            <w:vAlign w:val="center"/>
          </w:tcPr>
          <w:p w14:paraId="1D836271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281" w:type="pct"/>
            <w:shd w:val="clear" w:color="auto" w:fill="1F497D" w:themeFill="text2"/>
            <w:vAlign w:val="center"/>
          </w:tcPr>
          <w:p w14:paraId="54644EF5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394" w:type="pct"/>
            <w:shd w:val="clear" w:color="auto" w:fill="1F497D" w:themeFill="text2"/>
          </w:tcPr>
          <w:p w14:paraId="2735F8E7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210" w:type="pct"/>
            <w:shd w:val="clear" w:color="auto" w:fill="1F497D" w:themeFill="text2"/>
          </w:tcPr>
          <w:p w14:paraId="2E05F41E" w14:textId="590C27AA" w:rsidR="00FA7E07" w:rsidRPr="005601F2" w:rsidRDefault="00FA7E07" w:rsidP="00FA7E07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725" w:type="pct"/>
            <w:shd w:val="clear" w:color="auto" w:fill="1F497D" w:themeFill="text2"/>
          </w:tcPr>
          <w:p w14:paraId="3572FEB0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</w:tr>
      <w:tr w:rsidR="00FA7E07" w:rsidRPr="005601F2" w14:paraId="1558302B" w14:textId="77777777" w:rsidTr="00AD5DEE">
        <w:trPr>
          <w:trHeight w:val="555"/>
          <w:jc w:val="center"/>
        </w:trPr>
        <w:tc>
          <w:tcPr>
            <w:tcW w:w="167" w:type="pct"/>
            <w:vAlign w:val="center"/>
          </w:tcPr>
          <w:p w14:paraId="26DE476D" w14:textId="50C980AE" w:rsidR="00FA7E07" w:rsidRPr="005601F2" w:rsidRDefault="00FA7E07" w:rsidP="00FA7E07">
            <w:pPr>
              <w:tabs>
                <w:tab w:val="left" w:pos="360"/>
              </w:tabs>
            </w:pPr>
            <w:r w:rsidRPr="005601F2">
              <w:t>20.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15A8F97" w14:textId="63D4109C" w:rsidR="00FA7E07" w:rsidRPr="005601F2" w:rsidRDefault="00FA7E07" w:rsidP="00FA7E07">
            <w:r w:rsidRPr="005601F2">
              <w:t>Ukinuti obvezu dostave uvjerenja o nekažnjavanju za socijalne radnike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4ABF8608" w14:textId="3CA16666" w:rsidR="00FA7E07" w:rsidRPr="005601F2" w:rsidRDefault="00FA7E07" w:rsidP="00FA7E07">
            <w:r w:rsidRPr="005601F2">
              <w:t>Ministarstvo rada, mirovinskoga sustava, obitelji i socijalne politike (MROSP)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5264564" w14:textId="29EC8D57" w:rsidR="00FA7E07" w:rsidRPr="005601F2" w:rsidRDefault="00FA7E07" w:rsidP="00FA7E07">
            <w:r w:rsidRPr="005601F2">
              <w:t>Q2/25</w:t>
            </w:r>
          </w:p>
        </w:tc>
        <w:tc>
          <w:tcPr>
            <w:tcW w:w="394" w:type="pct"/>
          </w:tcPr>
          <w:p w14:paraId="4F87E7DD" w14:textId="38A72AD9" w:rsidR="00FA7E07" w:rsidRPr="005601F2" w:rsidRDefault="00FA7E07" w:rsidP="00FA7E07"/>
        </w:tc>
        <w:tc>
          <w:tcPr>
            <w:tcW w:w="1210" w:type="pct"/>
          </w:tcPr>
          <w:p w14:paraId="6E191131" w14:textId="12639822" w:rsidR="00FA7E07" w:rsidRPr="005601F2" w:rsidRDefault="00FA7E07" w:rsidP="00FA7E07">
            <w:pPr>
              <w:pStyle w:val="CommentText"/>
              <w:jc w:val="both"/>
              <w:rPr>
                <w:sz w:val="24"/>
                <w:szCs w:val="24"/>
              </w:rPr>
            </w:pPr>
            <w:r w:rsidRPr="005601F2">
              <w:rPr>
                <w:sz w:val="24"/>
                <w:szCs w:val="24"/>
              </w:rPr>
              <w:t>Ukida se obveza dostave dokaza, dok provjera ostaje. Obveza se planira ukloniti kroz administrativnu uputu i brisanje na stranici Jedinstvene kontaktne točke za usluge (psc.hr).</w:t>
            </w:r>
          </w:p>
        </w:tc>
        <w:tc>
          <w:tcPr>
            <w:tcW w:w="725" w:type="pct"/>
          </w:tcPr>
          <w:p w14:paraId="52B56E60" w14:textId="3CB1DC87" w:rsidR="00FA7E07" w:rsidRPr="005601F2" w:rsidRDefault="00FA7E07" w:rsidP="00FA7E07">
            <w:r w:rsidRPr="005601F2">
              <w:t>Smanjit će se opseg dokumentacije</w:t>
            </w:r>
          </w:p>
        </w:tc>
      </w:tr>
      <w:tr w:rsidR="00FA7E07" w:rsidRPr="005601F2" w14:paraId="51495BB8" w14:textId="77777777" w:rsidTr="00AD5DEE">
        <w:trPr>
          <w:trHeight w:val="251"/>
          <w:jc w:val="center"/>
        </w:trPr>
        <w:tc>
          <w:tcPr>
            <w:tcW w:w="167" w:type="pct"/>
            <w:shd w:val="clear" w:color="auto" w:fill="1F497D" w:themeFill="text2"/>
            <w:vAlign w:val="center"/>
          </w:tcPr>
          <w:p w14:paraId="6C3EE660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379" w:type="pct"/>
            <w:shd w:val="clear" w:color="auto" w:fill="1F497D" w:themeFill="text2"/>
            <w:vAlign w:val="center"/>
          </w:tcPr>
          <w:p w14:paraId="4418D4C1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  <w:r w:rsidRPr="005601F2">
              <w:rPr>
                <w:b/>
                <w:color w:val="FFFFFF" w:themeColor="background1"/>
              </w:rPr>
              <w:t>Edukacijski rehabilitatori</w:t>
            </w:r>
          </w:p>
        </w:tc>
        <w:tc>
          <w:tcPr>
            <w:tcW w:w="844" w:type="pct"/>
            <w:shd w:val="clear" w:color="auto" w:fill="1F497D" w:themeFill="text2"/>
            <w:vAlign w:val="center"/>
          </w:tcPr>
          <w:p w14:paraId="07A6CEE7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281" w:type="pct"/>
            <w:shd w:val="clear" w:color="auto" w:fill="1F497D" w:themeFill="text2"/>
            <w:vAlign w:val="center"/>
          </w:tcPr>
          <w:p w14:paraId="255C1EC7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394" w:type="pct"/>
            <w:shd w:val="clear" w:color="auto" w:fill="1F497D" w:themeFill="text2"/>
          </w:tcPr>
          <w:p w14:paraId="5A158E3C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  <w:tc>
          <w:tcPr>
            <w:tcW w:w="1210" w:type="pct"/>
            <w:shd w:val="clear" w:color="auto" w:fill="1F497D" w:themeFill="text2"/>
          </w:tcPr>
          <w:p w14:paraId="07FE7AC1" w14:textId="77777777" w:rsidR="00FA7E07" w:rsidRPr="005601F2" w:rsidRDefault="00FA7E07" w:rsidP="00FA7E07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725" w:type="pct"/>
            <w:shd w:val="clear" w:color="auto" w:fill="1F497D" w:themeFill="text2"/>
          </w:tcPr>
          <w:p w14:paraId="48B7E141" w14:textId="77777777" w:rsidR="00FA7E07" w:rsidRPr="005601F2" w:rsidRDefault="00FA7E07" w:rsidP="00FA7E07">
            <w:pPr>
              <w:rPr>
                <w:b/>
                <w:color w:val="FFFFFF" w:themeColor="background1"/>
              </w:rPr>
            </w:pPr>
          </w:p>
        </w:tc>
      </w:tr>
      <w:tr w:rsidR="00FA7E07" w:rsidRPr="00E1705C" w14:paraId="4D4EC45C" w14:textId="77777777" w:rsidTr="00AD5DEE">
        <w:trPr>
          <w:trHeight w:val="555"/>
          <w:jc w:val="center"/>
        </w:trPr>
        <w:tc>
          <w:tcPr>
            <w:tcW w:w="167" w:type="pct"/>
            <w:vAlign w:val="center"/>
          </w:tcPr>
          <w:p w14:paraId="06508B46" w14:textId="723B9033" w:rsidR="00FA7E07" w:rsidRPr="005601F2" w:rsidRDefault="00FA7E07" w:rsidP="00FA7E07">
            <w:pPr>
              <w:tabs>
                <w:tab w:val="left" w:pos="360"/>
              </w:tabs>
            </w:pPr>
            <w:r w:rsidRPr="005601F2">
              <w:t>21.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AFB9F58" w14:textId="129F9117" w:rsidR="00FA7E07" w:rsidRPr="005601F2" w:rsidRDefault="00FA7E07" w:rsidP="00FA7E07">
            <w:r w:rsidRPr="005601F2">
              <w:t>Ukinuti obvezu dostave dokaza o nekažnjavanju za edukacijske rehabilitatore</w:t>
            </w:r>
          </w:p>
          <w:p w14:paraId="021CE58A" w14:textId="77777777" w:rsidR="00FA7E07" w:rsidRPr="005601F2" w:rsidRDefault="00FA7E07" w:rsidP="00FA7E07"/>
        </w:tc>
        <w:tc>
          <w:tcPr>
            <w:tcW w:w="844" w:type="pct"/>
            <w:shd w:val="clear" w:color="auto" w:fill="auto"/>
            <w:vAlign w:val="center"/>
          </w:tcPr>
          <w:p w14:paraId="6866E4C2" w14:textId="5A9E2520" w:rsidR="00FA7E07" w:rsidRPr="005601F2" w:rsidRDefault="00FA7E07" w:rsidP="00FA7E07">
            <w:r w:rsidRPr="005601F2">
              <w:t>Ministarstvo rada, mirovinskoga sustava, obitelji i socijalne politike (MROSP)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FDA19AE" w14:textId="2280BC14" w:rsidR="00FA7E07" w:rsidRPr="005601F2" w:rsidRDefault="00FA7E07" w:rsidP="00FA7E07">
            <w:r w:rsidRPr="005601F2">
              <w:t>Q2/25</w:t>
            </w:r>
          </w:p>
        </w:tc>
        <w:tc>
          <w:tcPr>
            <w:tcW w:w="394" w:type="pct"/>
          </w:tcPr>
          <w:p w14:paraId="72FDC0E6" w14:textId="4DE3DCD0" w:rsidR="00FA7E07" w:rsidRPr="005601F2" w:rsidRDefault="00FA7E07" w:rsidP="00FA7E07"/>
        </w:tc>
        <w:tc>
          <w:tcPr>
            <w:tcW w:w="1210" w:type="pct"/>
          </w:tcPr>
          <w:p w14:paraId="64815C81" w14:textId="73CDF215" w:rsidR="00FA7E07" w:rsidRPr="005601F2" w:rsidRDefault="00FA7E07" w:rsidP="00FA7E07">
            <w:pPr>
              <w:pStyle w:val="CommentText"/>
              <w:jc w:val="both"/>
              <w:rPr>
                <w:sz w:val="24"/>
                <w:szCs w:val="24"/>
              </w:rPr>
            </w:pPr>
            <w:r w:rsidRPr="005601F2">
              <w:rPr>
                <w:sz w:val="24"/>
                <w:szCs w:val="24"/>
              </w:rPr>
              <w:t>Ukida se obveza dostave dokaza, dok provjera ostaje. Obveza se planira ukloniti kroz administrativnu uputu i brisanje na stranici Jedinstvene kontaktne točke za usluge (psc.hr).</w:t>
            </w:r>
          </w:p>
        </w:tc>
        <w:tc>
          <w:tcPr>
            <w:tcW w:w="725" w:type="pct"/>
          </w:tcPr>
          <w:p w14:paraId="51C6A903" w14:textId="2501449C" w:rsidR="00FA7E07" w:rsidRPr="00E1705C" w:rsidRDefault="00FA7E07" w:rsidP="00FA7E07">
            <w:r w:rsidRPr="005601F2">
              <w:t>Smanjit će se opseg dokumentacije</w:t>
            </w:r>
            <w:r w:rsidRPr="00F41A9B">
              <w:t xml:space="preserve"> </w:t>
            </w:r>
          </w:p>
        </w:tc>
      </w:tr>
    </w:tbl>
    <w:p w14:paraId="0921CE08" w14:textId="77777777" w:rsidR="00931D7D" w:rsidRPr="00E1705C" w:rsidRDefault="00931D7D" w:rsidP="00E1705C"/>
    <w:sectPr w:rsidR="00931D7D" w:rsidRPr="00E1705C" w:rsidSect="00FE75CF">
      <w:footerReference w:type="default" r:id="rId24"/>
      <w:pgSz w:w="16838" w:h="11906" w:orient="landscape"/>
      <w:pgMar w:top="1134" w:right="794" w:bottom="1134" w:left="794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DC9DF" w14:textId="77777777" w:rsidR="00CF1FFF" w:rsidRDefault="00CF1FFF" w:rsidP="0011560A">
      <w:r>
        <w:separator/>
      </w:r>
    </w:p>
  </w:endnote>
  <w:endnote w:type="continuationSeparator" w:id="0">
    <w:p w14:paraId="72078780" w14:textId="77777777" w:rsidR="00CF1FFF" w:rsidRDefault="00CF1FFF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55330" w14:textId="4EC44F78" w:rsidR="00AF69E5" w:rsidRPr="00CE78D1" w:rsidRDefault="00AF69E5" w:rsidP="00241122">
    <w:pPr>
      <w:pStyle w:val="Footer"/>
      <w:tabs>
        <w:tab w:val="center" w:pos="4819"/>
        <w:tab w:val="left" w:pos="6486"/>
      </w:tabs>
      <w:rPr>
        <w:color w:val="404040" w:themeColor="text1" w:themeTint="BF"/>
        <w:spacing w:val="20"/>
        <w:sz w:val="20"/>
      </w:rPr>
    </w:pPr>
    <w:r>
      <w:tab/>
    </w:r>
    <w:r>
      <w:tab/>
    </w:r>
    <w:sdt>
      <w:sdtPr>
        <w:id w:val="-4051564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105">
          <w:rPr>
            <w:noProof/>
          </w:rPr>
          <w:t>11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7CF9D" w14:textId="77777777" w:rsidR="00CF1FFF" w:rsidRDefault="00CF1FFF" w:rsidP="0011560A">
      <w:r>
        <w:separator/>
      </w:r>
    </w:p>
  </w:footnote>
  <w:footnote w:type="continuationSeparator" w:id="0">
    <w:p w14:paraId="0C4BC1B8" w14:textId="77777777" w:rsidR="00CF1FFF" w:rsidRDefault="00CF1FFF" w:rsidP="0011560A">
      <w:r>
        <w:continuationSeparator/>
      </w:r>
    </w:p>
  </w:footnote>
  <w:footnote w:id="1">
    <w:p w14:paraId="287268D1" w14:textId="3363FFD8" w:rsidR="00060803" w:rsidRPr="002105F3" w:rsidRDefault="00060803">
      <w:pPr>
        <w:pStyle w:val="FootnoteText"/>
        <w:rPr>
          <w:rFonts w:ascii="Times New Roman" w:hAnsi="Times New Roman"/>
          <w:sz w:val="20"/>
          <w:szCs w:val="20"/>
        </w:rPr>
      </w:pPr>
      <w:r w:rsidRPr="002105F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105F3">
        <w:rPr>
          <w:rFonts w:ascii="Times New Roman" w:hAnsi="Times New Roman"/>
          <w:sz w:val="20"/>
          <w:szCs w:val="20"/>
        </w:rPr>
        <w:t xml:space="preserve"> </w:t>
      </w:r>
      <w:hyperlink r:id="rId1" w:history="1">
        <w:r w:rsidRPr="002105F3">
          <w:rPr>
            <w:rStyle w:val="Hyperlink"/>
            <w:rFonts w:ascii="Times New Roman" w:hAnsi="Times New Roman"/>
            <w:sz w:val="20"/>
            <w:szCs w:val="20"/>
          </w:rPr>
          <w:t>https://eur-lex.europa.eu/legal-content/HR/TXT/PDF/?uri=CELEX:52024DC0077</w:t>
        </w:r>
      </w:hyperlink>
      <w:r w:rsidRPr="002105F3">
        <w:rPr>
          <w:rFonts w:ascii="Times New Roman" w:hAnsi="Times New Roman"/>
          <w:sz w:val="20"/>
          <w:szCs w:val="20"/>
        </w:rPr>
        <w:t xml:space="preserve"> </w:t>
      </w:r>
    </w:p>
  </w:footnote>
  <w:footnote w:id="2">
    <w:p w14:paraId="3305BC18" w14:textId="77777777" w:rsidR="0036290A" w:rsidRPr="002105F3" w:rsidRDefault="0036290A" w:rsidP="0036290A">
      <w:pPr>
        <w:pStyle w:val="FootnoteText"/>
        <w:rPr>
          <w:rFonts w:ascii="Times New Roman" w:hAnsi="Times New Roman"/>
          <w:sz w:val="20"/>
          <w:szCs w:val="20"/>
        </w:rPr>
      </w:pPr>
      <w:r w:rsidRPr="002105F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105F3">
        <w:rPr>
          <w:rFonts w:ascii="Times New Roman" w:hAnsi="Times New Roman"/>
          <w:sz w:val="20"/>
          <w:szCs w:val="20"/>
        </w:rPr>
        <w:t xml:space="preserve"> </w:t>
      </w:r>
      <w:hyperlink r:id="rId2" w:history="1">
        <w:r w:rsidRPr="002105F3">
          <w:rPr>
            <w:rStyle w:val="Hyperlink"/>
            <w:rFonts w:ascii="Times New Roman" w:hAnsi="Times New Roman"/>
            <w:sz w:val="20"/>
            <w:szCs w:val="20"/>
          </w:rPr>
          <w:t>https://single-market-economy.ec.europa.eu/system/files/2023-01/ASMR%202023.pdf</w:t>
        </w:r>
      </w:hyperlink>
    </w:p>
  </w:footnote>
  <w:footnote w:id="3">
    <w:p w14:paraId="7E0DA41B" w14:textId="77777777" w:rsidR="0036290A" w:rsidRPr="002105F3" w:rsidRDefault="0036290A" w:rsidP="0036290A">
      <w:pPr>
        <w:pStyle w:val="FootnoteText"/>
        <w:rPr>
          <w:rFonts w:ascii="Times New Roman" w:hAnsi="Times New Roman"/>
          <w:sz w:val="20"/>
          <w:szCs w:val="20"/>
        </w:rPr>
      </w:pPr>
      <w:r w:rsidRPr="002105F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105F3">
        <w:rPr>
          <w:rFonts w:ascii="Times New Roman" w:hAnsi="Times New Roman"/>
          <w:sz w:val="20"/>
          <w:szCs w:val="20"/>
        </w:rPr>
        <w:t xml:space="preserve"> </w:t>
      </w:r>
      <w:hyperlink r:id="rId3" w:history="1">
        <w:r w:rsidRPr="002105F3">
          <w:rPr>
            <w:rStyle w:val="Hyperlink"/>
            <w:rFonts w:ascii="Times New Roman" w:hAnsi="Times New Roman"/>
            <w:sz w:val="20"/>
            <w:szCs w:val="20"/>
          </w:rPr>
          <w:t>https://ec.europa.eu/docsroom/documents/48877</w:t>
        </w:r>
      </w:hyperlink>
    </w:p>
  </w:footnote>
  <w:footnote w:id="4">
    <w:p w14:paraId="5CE7BAD2" w14:textId="77777777" w:rsidR="0036290A" w:rsidRPr="002105F3" w:rsidRDefault="0036290A" w:rsidP="0036290A">
      <w:pPr>
        <w:pStyle w:val="FootnoteText"/>
        <w:rPr>
          <w:rFonts w:ascii="Times New Roman" w:hAnsi="Times New Roman"/>
          <w:sz w:val="20"/>
          <w:szCs w:val="20"/>
        </w:rPr>
      </w:pPr>
      <w:r w:rsidRPr="002105F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105F3">
        <w:rPr>
          <w:rFonts w:ascii="Times New Roman" w:hAnsi="Times New Roman"/>
          <w:sz w:val="20"/>
          <w:szCs w:val="20"/>
        </w:rPr>
        <w:t xml:space="preserve"> </w:t>
      </w:r>
      <w:hyperlink r:id="rId4" w:history="1">
        <w:r w:rsidRPr="002105F3">
          <w:rPr>
            <w:rStyle w:val="Hyperlink"/>
            <w:rFonts w:ascii="Times New Roman" w:hAnsi="Times New Roman"/>
            <w:sz w:val="20"/>
            <w:szCs w:val="20"/>
          </w:rPr>
          <w:t>https://joint-research-centre.ec.europa.eu/publications/general-equilibrium-analysis-economic-impact-post-2006-eu-regulation-services-sector_en</w:t>
        </w:r>
      </w:hyperlink>
    </w:p>
  </w:footnote>
  <w:footnote w:id="5">
    <w:p w14:paraId="40F6F4C3" w14:textId="77777777" w:rsidR="0036290A" w:rsidRPr="002105F3" w:rsidRDefault="0036290A" w:rsidP="0036290A">
      <w:pPr>
        <w:pStyle w:val="FootnoteText"/>
        <w:rPr>
          <w:rFonts w:ascii="Times New Roman" w:hAnsi="Times New Roman"/>
          <w:sz w:val="20"/>
          <w:szCs w:val="20"/>
        </w:rPr>
      </w:pPr>
      <w:r w:rsidRPr="002105F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105F3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Pr="002105F3">
          <w:rPr>
            <w:rStyle w:val="Hyperlink"/>
            <w:rFonts w:ascii="Times New Roman" w:hAnsi="Times New Roman"/>
            <w:sz w:val="20"/>
            <w:szCs w:val="20"/>
          </w:rPr>
          <w:t>https://ec.europa.eu/info/files/staff-working-document-annual-single-market-report-2021_en</w:t>
        </w:r>
      </w:hyperlink>
    </w:p>
  </w:footnote>
  <w:footnote w:id="6">
    <w:p w14:paraId="099168DD" w14:textId="77777777" w:rsidR="0036290A" w:rsidRPr="002105F3" w:rsidRDefault="0036290A" w:rsidP="0036290A">
      <w:pPr>
        <w:pStyle w:val="FootnoteText"/>
        <w:rPr>
          <w:rFonts w:ascii="Times New Roman" w:hAnsi="Times New Roman"/>
          <w:sz w:val="20"/>
          <w:szCs w:val="20"/>
        </w:rPr>
      </w:pPr>
      <w:r w:rsidRPr="002105F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105F3">
        <w:rPr>
          <w:rFonts w:ascii="Times New Roman" w:hAnsi="Times New Roman"/>
          <w:sz w:val="20"/>
          <w:szCs w:val="20"/>
        </w:rPr>
        <w:t xml:space="preserve"> </w:t>
      </w:r>
      <w:hyperlink r:id="rId6" w:history="1">
        <w:r w:rsidRPr="002105F3">
          <w:rPr>
            <w:rStyle w:val="Hyperlink"/>
            <w:rFonts w:ascii="Times New Roman" w:hAnsi="Times New Roman"/>
            <w:sz w:val="20"/>
            <w:szCs w:val="20"/>
          </w:rPr>
          <w:t>https://www.europarl.europa.eu/RegData/etudes/BRIE/2022/730311/EPRS_BRI(2022)730311_EN.pdf</w:t>
        </w:r>
      </w:hyperlink>
    </w:p>
  </w:footnote>
  <w:footnote w:id="7">
    <w:p w14:paraId="2A70A1B4" w14:textId="77777777" w:rsidR="0036290A" w:rsidRPr="00410823" w:rsidRDefault="0036290A" w:rsidP="0036290A">
      <w:pPr>
        <w:pStyle w:val="FootnoteText"/>
        <w:rPr>
          <w:rFonts w:ascii="Times New Roman" w:hAnsi="Times New Roman"/>
          <w:sz w:val="20"/>
          <w:szCs w:val="20"/>
        </w:rPr>
      </w:pPr>
      <w:r w:rsidRPr="002105F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105F3">
        <w:rPr>
          <w:rFonts w:ascii="Times New Roman" w:hAnsi="Times New Roman"/>
          <w:sz w:val="20"/>
          <w:szCs w:val="20"/>
        </w:rPr>
        <w:t xml:space="preserve"> </w:t>
      </w:r>
      <w:hyperlink r:id="rId7" w:history="1">
        <w:r w:rsidRPr="00410823">
          <w:rPr>
            <w:rStyle w:val="Hyperlink"/>
            <w:rFonts w:ascii="Times New Roman" w:hAnsi="Times New Roman"/>
            <w:sz w:val="20"/>
            <w:szCs w:val="20"/>
          </w:rPr>
          <w:t>https://eur-lex.europa.eu/legal-content/EN/TXT/PDF/?uri=CELEX:52020SC0054&amp;from=EN</w:t>
        </w:r>
      </w:hyperlink>
    </w:p>
  </w:footnote>
  <w:footnote w:id="8">
    <w:p w14:paraId="3DC0DC98" w14:textId="77777777" w:rsidR="00CC3243" w:rsidRPr="002105F3" w:rsidRDefault="00CC3243" w:rsidP="00CC3243">
      <w:pPr>
        <w:pStyle w:val="FootnoteText"/>
        <w:rPr>
          <w:rFonts w:ascii="Times New Roman" w:hAnsi="Times New Roman"/>
          <w:sz w:val="20"/>
          <w:szCs w:val="20"/>
        </w:rPr>
      </w:pPr>
      <w:r w:rsidRPr="002105F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105F3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Pr="002105F3">
          <w:rPr>
            <w:rStyle w:val="Hyperlink"/>
            <w:rFonts w:ascii="Times New Roman" w:hAnsi="Times New Roman"/>
            <w:sz w:val="20"/>
            <w:szCs w:val="20"/>
          </w:rPr>
          <w:t>https://openknowledge.worldbank.org/handle/10986/33963</w:t>
        </w:r>
      </w:hyperlink>
    </w:p>
  </w:footnote>
  <w:footnote w:id="9">
    <w:p w14:paraId="2ADB8C29" w14:textId="77777777" w:rsidR="00CC3243" w:rsidRPr="002105F3" w:rsidRDefault="00CC3243" w:rsidP="00CC3243">
      <w:pPr>
        <w:pStyle w:val="FootnoteText"/>
        <w:rPr>
          <w:rFonts w:ascii="Times New Roman" w:hAnsi="Times New Roman"/>
          <w:color w:val="0000FF"/>
          <w:sz w:val="20"/>
          <w:szCs w:val="20"/>
          <w:u w:val="single"/>
        </w:rPr>
      </w:pPr>
      <w:r w:rsidRPr="002105F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105F3">
        <w:rPr>
          <w:rFonts w:ascii="Times New Roman" w:hAnsi="Times New Roman"/>
          <w:sz w:val="20"/>
          <w:szCs w:val="20"/>
        </w:rPr>
        <w:t xml:space="preserve"> </w:t>
      </w:r>
      <w:hyperlink r:id="rId9" w:history="1">
        <w:r w:rsidRPr="002105F3">
          <w:rPr>
            <w:rStyle w:val="Hyperlink"/>
            <w:rFonts w:ascii="Times New Roman" w:hAnsi="Times New Roman"/>
            <w:sz w:val="20"/>
            <w:szCs w:val="20"/>
          </w:rPr>
          <w:t>https://www.worldbank.org/en/country/croatia/publication/croatia-cem</w:t>
        </w:r>
      </w:hyperlink>
    </w:p>
  </w:footnote>
  <w:footnote w:id="10">
    <w:p w14:paraId="4C0E850A" w14:textId="77777777" w:rsidR="00931D7D" w:rsidRPr="00410823" w:rsidRDefault="00931D7D" w:rsidP="00931D7D">
      <w:pPr>
        <w:pStyle w:val="FootnoteText"/>
        <w:rPr>
          <w:rFonts w:ascii="Times New Roman" w:hAnsi="Times New Roman"/>
          <w:sz w:val="20"/>
          <w:szCs w:val="20"/>
        </w:rPr>
      </w:pPr>
      <w:r w:rsidRPr="0041082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410823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r w:rsidRPr="00410823">
          <w:rPr>
            <w:rStyle w:val="Hyperlink"/>
            <w:rFonts w:ascii="Times New Roman" w:hAnsi="Times New Roman"/>
            <w:sz w:val="20"/>
            <w:szCs w:val="20"/>
          </w:rPr>
          <w:t>https://vlada.gov.hr/UserDocsImages/Vijesti/2021/srpanj/29%20srpnja/Plan%20oporavka%20i%20otpornosti%2C%20srpanj%202021..pdf</w:t>
        </w:r>
      </w:hyperlink>
    </w:p>
  </w:footnote>
  <w:footnote w:id="11">
    <w:p w14:paraId="3B0042E5" w14:textId="112888EA" w:rsidR="00931D7D" w:rsidRPr="002105F3" w:rsidRDefault="00931D7D" w:rsidP="00931D7D">
      <w:pPr>
        <w:pStyle w:val="FootnoteText"/>
        <w:rPr>
          <w:rFonts w:ascii="Times New Roman" w:hAnsi="Times New Roman"/>
          <w:sz w:val="20"/>
          <w:szCs w:val="20"/>
          <w:lang w:val="en-US"/>
        </w:rPr>
      </w:pPr>
      <w:r w:rsidRPr="0041082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410823">
        <w:rPr>
          <w:rFonts w:ascii="Times New Roman" w:hAnsi="Times New Roman"/>
          <w:sz w:val="20"/>
          <w:szCs w:val="20"/>
        </w:rPr>
        <w:t xml:space="preserve"> </w:t>
      </w:r>
      <w:hyperlink r:id="rId11" w:history="1">
        <w:r w:rsidR="00410823" w:rsidRPr="00410823">
          <w:rPr>
            <w:rStyle w:val="Hyperlink"/>
            <w:rFonts w:ascii="Times New Roman" w:hAnsi="Times New Roman"/>
            <w:sz w:val="20"/>
            <w:szCs w:val="20"/>
          </w:rPr>
          <w:t>https://openknowledge.worldbank.org/entities/publication/7bfeaca7-e215-55a5-a2d9-7f8014e6d3ee</w:t>
        </w:r>
      </w:hyperlink>
      <w:r w:rsidR="00C64850">
        <w:rPr>
          <w:sz w:val="24"/>
          <w:szCs w:val="24"/>
        </w:rPr>
        <w:t xml:space="preserve"> </w:t>
      </w:r>
    </w:p>
  </w:footnote>
  <w:footnote w:id="12">
    <w:p w14:paraId="4FF048D6" w14:textId="58C5A33A" w:rsidR="009C63D1" w:rsidRPr="002105F3" w:rsidRDefault="009C63D1">
      <w:pPr>
        <w:pStyle w:val="FootnoteText"/>
        <w:rPr>
          <w:rFonts w:ascii="Times New Roman" w:hAnsi="Times New Roman"/>
          <w:sz w:val="20"/>
          <w:szCs w:val="20"/>
          <w:lang w:val="en-US"/>
        </w:rPr>
      </w:pPr>
      <w:r w:rsidRPr="002105F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105F3">
        <w:rPr>
          <w:rFonts w:ascii="Times New Roman" w:hAnsi="Times New Roman"/>
          <w:sz w:val="20"/>
          <w:szCs w:val="20"/>
        </w:rPr>
        <w:t xml:space="preserve"> </w:t>
      </w:r>
      <w:hyperlink r:id="rId12" w:history="1">
        <w:r w:rsidRPr="002105F3">
          <w:rPr>
            <w:rStyle w:val="Hyperlink"/>
            <w:rFonts w:ascii="Times New Roman" w:hAnsi="Times New Roman"/>
            <w:sz w:val="20"/>
            <w:szCs w:val="20"/>
          </w:rPr>
          <w:t>https://www.oecd.org/en/topics/sub-issues/product-market-regulation.html</w:t>
        </w:r>
      </w:hyperlink>
      <w:r w:rsidRPr="002105F3">
        <w:rPr>
          <w:rFonts w:ascii="Times New Roman" w:hAnsi="Times New Roman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67532"/>
    <w:multiLevelType w:val="multilevel"/>
    <w:tmpl w:val="D0D04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533074"/>
    <w:multiLevelType w:val="hybridMultilevel"/>
    <w:tmpl w:val="8916A962"/>
    <w:lvl w:ilvl="0" w:tplc="0F1CE12A">
      <w:start w:val="20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45346"/>
    <w:multiLevelType w:val="hybridMultilevel"/>
    <w:tmpl w:val="8034BE9C"/>
    <w:lvl w:ilvl="0" w:tplc="FADA18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C7F92"/>
    <w:multiLevelType w:val="hybridMultilevel"/>
    <w:tmpl w:val="7EB45722"/>
    <w:lvl w:ilvl="0" w:tplc="05BC58C4">
      <w:start w:val="1"/>
      <w:numFmt w:val="decimal"/>
      <w:lvlText w:val="%1."/>
      <w:lvlJc w:val="left"/>
      <w:pPr>
        <w:ind w:left="720" w:hanging="360"/>
      </w:pPr>
      <w:rPr>
        <w:rFonts w:ascii="Lucida Sans Unicode" w:hAnsi="Lucida Sans Unicode" w:cs="Lucida Sans Unicode" w:hint="default"/>
        <w:b w:val="0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05C2C"/>
    <w:multiLevelType w:val="hybridMultilevel"/>
    <w:tmpl w:val="8034BE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F48EE"/>
    <w:multiLevelType w:val="multilevel"/>
    <w:tmpl w:val="30F6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0219"/>
    <w:rsid w:val="00005D57"/>
    <w:rsid w:val="000104C3"/>
    <w:rsid w:val="000113FF"/>
    <w:rsid w:val="00012258"/>
    <w:rsid w:val="000136FC"/>
    <w:rsid w:val="00016131"/>
    <w:rsid w:val="00017FBF"/>
    <w:rsid w:val="000205A7"/>
    <w:rsid w:val="000213DF"/>
    <w:rsid w:val="00025E8C"/>
    <w:rsid w:val="0002611F"/>
    <w:rsid w:val="000350D9"/>
    <w:rsid w:val="00037CCE"/>
    <w:rsid w:val="0004081A"/>
    <w:rsid w:val="000455EE"/>
    <w:rsid w:val="000512D8"/>
    <w:rsid w:val="000556E6"/>
    <w:rsid w:val="00056F3B"/>
    <w:rsid w:val="00057310"/>
    <w:rsid w:val="00060803"/>
    <w:rsid w:val="0006144B"/>
    <w:rsid w:val="00063520"/>
    <w:rsid w:val="00065904"/>
    <w:rsid w:val="0007115C"/>
    <w:rsid w:val="000717BD"/>
    <w:rsid w:val="0007429D"/>
    <w:rsid w:val="00076F8F"/>
    <w:rsid w:val="00085D77"/>
    <w:rsid w:val="00086A6C"/>
    <w:rsid w:val="0008742D"/>
    <w:rsid w:val="00091779"/>
    <w:rsid w:val="00091C61"/>
    <w:rsid w:val="00094F61"/>
    <w:rsid w:val="000A17B4"/>
    <w:rsid w:val="000A1D60"/>
    <w:rsid w:val="000A3A3B"/>
    <w:rsid w:val="000A5C4C"/>
    <w:rsid w:val="000A75ED"/>
    <w:rsid w:val="000A7C31"/>
    <w:rsid w:val="000B0215"/>
    <w:rsid w:val="000B6D53"/>
    <w:rsid w:val="000B7469"/>
    <w:rsid w:val="000C0CB2"/>
    <w:rsid w:val="000C1874"/>
    <w:rsid w:val="000C32F0"/>
    <w:rsid w:val="000C63AF"/>
    <w:rsid w:val="000D1A50"/>
    <w:rsid w:val="000D1DA5"/>
    <w:rsid w:val="000D4F16"/>
    <w:rsid w:val="000D5607"/>
    <w:rsid w:val="000E1E13"/>
    <w:rsid w:val="000F12F5"/>
    <w:rsid w:val="000F4293"/>
    <w:rsid w:val="001015C6"/>
    <w:rsid w:val="00103700"/>
    <w:rsid w:val="00107073"/>
    <w:rsid w:val="00107CFB"/>
    <w:rsid w:val="00110E6C"/>
    <w:rsid w:val="00114BD3"/>
    <w:rsid w:val="0011560A"/>
    <w:rsid w:val="00117A20"/>
    <w:rsid w:val="00121971"/>
    <w:rsid w:val="00125CE1"/>
    <w:rsid w:val="00131C5E"/>
    <w:rsid w:val="00133FA4"/>
    <w:rsid w:val="00134A5C"/>
    <w:rsid w:val="00135976"/>
    <w:rsid w:val="00135F1A"/>
    <w:rsid w:val="00136F7F"/>
    <w:rsid w:val="0014412E"/>
    <w:rsid w:val="0014575E"/>
    <w:rsid w:val="00146B79"/>
    <w:rsid w:val="00147DE9"/>
    <w:rsid w:val="0015065C"/>
    <w:rsid w:val="00155208"/>
    <w:rsid w:val="0015548C"/>
    <w:rsid w:val="00155EC4"/>
    <w:rsid w:val="00157B9B"/>
    <w:rsid w:val="00157CC2"/>
    <w:rsid w:val="00161A63"/>
    <w:rsid w:val="00166793"/>
    <w:rsid w:val="00167585"/>
    <w:rsid w:val="00167D55"/>
    <w:rsid w:val="00167D70"/>
    <w:rsid w:val="00170226"/>
    <w:rsid w:val="00170780"/>
    <w:rsid w:val="00172B9C"/>
    <w:rsid w:val="00172F66"/>
    <w:rsid w:val="001741AA"/>
    <w:rsid w:val="001748CB"/>
    <w:rsid w:val="001809A3"/>
    <w:rsid w:val="001917B2"/>
    <w:rsid w:val="00191C12"/>
    <w:rsid w:val="00191F64"/>
    <w:rsid w:val="001A13E7"/>
    <w:rsid w:val="001A55B0"/>
    <w:rsid w:val="001A7973"/>
    <w:rsid w:val="001B018E"/>
    <w:rsid w:val="001B292D"/>
    <w:rsid w:val="001B29BC"/>
    <w:rsid w:val="001B35CF"/>
    <w:rsid w:val="001B7A97"/>
    <w:rsid w:val="001C3171"/>
    <w:rsid w:val="001C3C2F"/>
    <w:rsid w:val="001C5B58"/>
    <w:rsid w:val="001C6A56"/>
    <w:rsid w:val="001C6A57"/>
    <w:rsid w:val="001D21C1"/>
    <w:rsid w:val="001D5BF3"/>
    <w:rsid w:val="001D7B10"/>
    <w:rsid w:val="001E1FC9"/>
    <w:rsid w:val="001E6EB8"/>
    <w:rsid w:val="001E7218"/>
    <w:rsid w:val="001F1C5D"/>
    <w:rsid w:val="001F1E2D"/>
    <w:rsid w:val="001F202A"/>
    <w:rsid w:val="001F29B9"/>
    <w:rsid w:val="001F5381"/>
    <w:rsid w:val="001F7246"/>
    <w:rsid w:val="00200BEA"/>
    <w:rsid w:val="0020156C"/>
    <w:rsid w:val="002105F3"/>
    <w:rsid w:val="002158B2"/>
    <w:rsid w:val="00216A76"/>
    <w:rsid w:val="002179F8"/>
    <w:rsid w:val="00220956"/>
    <w:rsid w:val="00221779"/>
    <w:rsid w:val="00222785"/>
    <w:rsid w:val="00230482"/>
    <w:rsid w:val="002337B8"/>
    <w:rsid w:val="0023763F"/>
    <w:rsid w:val="00237CAC"/>
    <w:rsid w:val="00241122"/>
    <w:rsid w:val="0024125D"/>
    <w:rsid w:val="0024376A"/>
    <w:rsid w:val="002451B2"/>
    <w:rsid w:val="00245264"/>
    <w:rsid w:val="00245B66"/>
    <w:rsid w:val="00247D62"/>
    <w:rsid w:val="002507E4"/>
    <w:rsid w:val="00251CFA"/>
    <w:rsid w:val="002532FD"/>
    <w:rsid w:val="002658CD"/>
    <w:rsid w:val="00270745"/>
    <w:rsid w:val="00273EFC"/>
    <w:rsid w:val="002746FD"/>
    <w:rsid w:val="002747DC"/>
    <w:rsid w:val="002811E2"/>
    <w:rsid w:val="00281659"/>
    <w:rsid w:val="00281C0A"/>
    <w:rsid w:val="002822BE"/>
    <w:rsid w:val="00282DFC"/>
    <w:rsid w:val="00283695"/>
    <w:rsid w:val="0028394E"/>
    <w:rsid w:val="002847A6"/>
    <w:rsid w:val="002851E8"/>
    <w:rsid w:val="00285D42"/>
    <w:rsid w:val="0028608D"/>
    <w:rsid w:val="0028776F"/>
    <w:rsid w:val="0029163B"/>
    <w:rsid w:val="002933B0"/>
    <w:rsid w:val="00294610"/>
    <w:rsid w:val="002A107C"/>
    <w:rsid w:val="002A1D77"/>
    <w:rsid w:val="002B0B69"/>
    <w:rsid w:val="002B107A"/>
    <w:rsid w:val="002B2E00"/>
    <w:rsid w:val="002B7767"/>
    <w:rsid w:val="002C33E6"/>
    <w:rsid w:val="002C45C8"/>
    <w:rsid w:val="002D1256"/>
    <w:rsid w:val="002D3B26"/>
    <w:rsid w:val="002D4581"/>
    <w:rsid w:val="002D62DB"/>
    <w:rsid w:val="002D6C51"/>
    <w:rsid w:val="002D76F0"/>
    <w:rsid w:val="002D7C91"/>
    <w:rsid w:val="002E0D63"/>
    <w:rsid w:val="002F0415"/>
    <w:rsid w:val="002F1214"/>
    <w:rsid w:val="002F29FD"/>
    <w:rsid w:val="002F2C1E"/>
    <w:rsid w:val="002F36AE"/>
    <w:rsid w:val="002F7F48"/>
    <w:rsid w:val="003017F8"/>
    <w:rsid w:val="003033E4"/>
    <w:rsid w:val="00303749"/>
    <w:rsid w:val="003041C5"/>
    <w:rsid w:val="00304232"/>
    <w:rsid w:val="00304648"/>
    <w:rsid w:val="0031064A"/>
    <w:rsid w:val="00312537"/>
    <w:rsid w:val="003146A6"/>
    <w:rsid w:val="003164CA"/>
    <w:rsid w:val="003171DB"/>
    <w:rsid w:val="003217BC"/>
    <w:rsid w:val="00323C77"/>
    <w:rsid w:val="0032626A"/>
    <w:rsid w:val="00326C46"/>
    <w:rsid w:val="00327177"/>
    <w:rsid w:val="00333ECA"/>
    <w:rsid w:val="0033430E"/>
    <w:rsid w:val="00336EE7"/>
    <w:rsid w:val="00337642"/>
    <w:rsid w:val="00340C92"/>
    <w:rsid w:val="0034132C"/>
    <w:rsid w:val="00341A2B"/>
    <w:rsid w:val="00342F81"/>
    <w:rsid w:val="0034351C"/>
    <w:rsid w:val="0034558C"/>
    <w:rsid w:val="00351510"/>
    <w:rsid w:val="00355D2C"/>
    <w:rsid w:val="0036290A"/>
    <w:rsid w:val="00363A50"/>
    <w:rsid w:val="003652C9"/>
    <w:rsid w:val="003703F7"/>
    <w:rsid w:val="00377E52"/>
    <w:rsid w:val="00381F04"/>
    <w:rsid w:val="00382567"/>
    <w:rsid w:val="00382EE2"/>
    <w:rsid w:val="0038426B"/>
    <w:rsid w:val="003864C0"/>
    <w:rsid w:val="003874EC"/>
    <w:rsid w:val="00392516"/>
    <w:rsid w:val="003929F5"/>
    <w:rsid w:val="00393541"/>
    <w:rsid w:val="00393C1A"/>
    <w:rsid w:val="00394D4E"/>
    <w:rsid w:val="003952DC"/>
    <w:rsid w:val="003A0776"/>
    <w:rsid w:val="003A1699"/>
    <w:rsid w:val="003A2F05"/>
    <w:rsid w:val="003A79F7"/>
    <w:rsid w:val="003B174A"/>
    <w:rsid w:val="003B3727"/>
    <w:rsid w:val="003B4314"/>
    <w:rsid w:val="003C09D8"/>
    <w:rsid w:val="003C2262"/>
    <w:rsid w:val="003C7B2D"/>
    <w:rsid w:val="003D0464"/>
    <w:rsid w:val="003D1F37"/>
    <w:rsid w:val="003D3A29"/>
    <w:rsid w:val="003D4511"/>
    <w:rsid w:val="003D47D1"/>
    <w:rsid w:val="003D52B3"/>
    <w:rsid w:val="003D6110"/>
    <w:rsid w:val="003E15FC"/>
    <w:rsid w:val="003F2467"/>
    <w:rsid w:val="003F5623"/>
    <w:rsid w:val="003F6713"/>
    <w:rsid w:val="003F71E5"/>
    <w:rsid w:val="004002FA"/>
    <w:rsid w:val="004039BD"/>
    <w:rsid w:val="00410823"/>
    <w:rsid w:val="004122AE"/>
    <w:rsid w:val="00413725"/>
    <w:rsid w:val="00420767"/>
    <w:rsid w:val="00421E5E"/>
    <w:rsid w:val="004272A9"/>
    <w:rsid w:val="0043040F"/>
    <w:rsid w:val="00431F30"/>
    <w:rsid w:val="004325C4"/>
    <w:rsid w:val="00436E88"/>
    <w:rsid w:val="00440D6D"/>
    <w:rsid w:val="00442367"/>
    <w:rsid w:val="00442A6E"/>
    <w:rsid w:val="00443521"/>
    <w:rsid w:val="004474E0"/>
    <w:rsid w:val="004508C2"/>
    <w:rsid w:val="00451361"/>
    <w:rsid w:val="00452C2C"/>
    <w:rsid w:val="004552EF"/>
    <w:rsid w:val="004568D2"/>
    <w:rsid w:val="004609F5"/>
    <w:rsid w:val="00461188"/>
    <w:rsid w:val="00471EAC"/>
    <w:rsid w:val="004738E6"/>
    <w:rsid w:val="0048579C"/>
    <w:rsid w:val="0048637B"/>
    <w:rsid w:val="00494571"/>
    <w:rsid w:val="00495CE1"/>
    <w:rsid w:val="00496DB5"/>
    <w:rsid w:val="004A76B3"/>
    <w:rsid w:val="004A776B"/>
    <w:rsid w:val="004A7E79"/>
    <w:rsid w:val="004B471C"/>
    <w:rsid w:val="004B55E6"/>
    <w:rsid w:val="004C1375"/>
    <w:rsid w:val="004C4348"/>
    <w:rsid w:val="004C5354"/>
    <w:rsid w:val="004C6947"/>
    <w:rsid w:val="004C79AD"/>
    <w:rsid w:val="004D5CA0"/>
    <w:rsid w:val="004D6EAE"/>
    <w:rsid w:val="004D79B4"/>
    <w:rsid w:val="004E1300"/>
    <w:rsid w:val="004E4E34"/>
    <w:rsid w:val="004F38AB"/>
    <w:rsid w:val="004F7E8B"/>
    <w:rsid w:val="00504248"/>
    <w:rsid w:val="00505D7D"/>
    <w:rsid w:val="005146D6"/>
    <w:rsid w:val="00515259"/>
    <w:rsid w:val="005301C9"/>
    <w:rsid w:val="0053595D"/>
    <w:rsid w:val="00535E09"/>
    <w:rsid w:val="00537AAA"/>
    <w:rsid w:val="00544937"/>
    <w:rsid w:val="0054529C"/>
    <w:rsid w:val="00546E12"/>
    <w:rsid w:val="005508C2"/>
    <w:rsid w:val="00552C20"/>
    <w:rsid w:val="00553640"/>
    <w:rsid w:val="005601F2"/>
    <w:rsid w:val="00560377"/>
    <w:rsid w:val="0056241A"/>
    <w:rsid w:val="00562422"/>
    <w:rsid w:val="00562C8C"/>
    <w:rsid w:val="0056365A"/>
    <w:rsid w:val="00566957"/>
    <w:rsid w:val="00567737"/>
    <w:rsid w:val="0057073C"/>
    <w:rsid w:val="0057120E"/>
    <w:rsid w:val="00571F6C"/>
    <w:rsid w:val="00580730"/>
    <w:rsid w:val="005861F2"/>
    <w:rsid w:val="00587B02"/>
    <w:rsid w:val="005906BB"/>
    <w:rsid w:val="005907EA"/>
    <w:rsid w:val="005912B6"/>
    <w:rsid w:val="005935DF"/>
    <w:rsid w:val="00593DC6"/>
    <w:rsid w:val="0059634F"/>
    <w:rsid w:val="005A1AF4"/>
    <w:rsid w:val="005A3C26"/>
    <w:rsid w:val="005A6ED3"/>
    <w:rsid w:val="005C0F85"/>
    <w:rsid w:val="005C3A4C"/>
    <w:rsid w:val="005C42B2"/>
    <w:rsid w:val="005C6CE0"/>
    <w:rsid w:val="005C70E2"/>
    <w:rsid w:val="005D137A"/>
    <w:rsid w:val="005D25D2"/>
    <w:rsid w:val="005D3413"/>
    <w:rsid w:val="005D48DD"/>
    <w:rsid w:val="005D5309"/>
    <w:rsid w:val="005E0CBD"/>
    <w:rsid w:val="005E5261"/>
    <w:rsid w:val="005E7B63"/>
    <w:rsid w:val="005E7CAB"/>
    <w:rsid w:val="005F1E66"/>
    <w:rsid w:val="005F278F"/>
    <w:rsid w:val="005F4727"/>
    <w:rsid w:val="005F4F9B"/>
    <w:rsid w:val="00603D52"/>
    <w:rsid w:val="006049EE"/>
    <w:rsid w:val="006054E6"/>
    <w:rsid w:val="00605742"/>
    <w:rsid w:val="00625FA7"/>
    <w:rsid w:val="0063019E"/>
    <w:rsid w:val="006311DE"/>
    <w:rsid w:val="00631BAE"/>
    <w:rsid w:val="00632914"/>
    <w:rsid w:val="006333B6"/>
    <w:rsid w:val="00633454"/>
    <w:rsid w:val="00636591"/>
    <w:rsid w:val="00644AD5"/>
    <w:rsid w:val="006456B0"/>
    <w:rsid w:val="00645962"/>
    <w:rsid w:val="00646FC7"/>
    <w:rsid w:val="00651C37"/>
    <w:rsid w:val="00652604"/>
    <w:rsid w:val="00656F91"/>
    <w:rsid w:val="0066110E"/>
    <w:rsid w:val="006617DD"/>
    <w:rsid w:val="00662268"/>
    <w:rsid w:val="006747A4"/>
    <w:rsid w:val="00675B44"/>
    <w:rsid w:val="00675D27"/>
    <w:rsid w:val="00675DF6"/>
    <w:rsid w:val="0068013E"/>
    <w:rsid w:val="0068772B"/>
    <w:rsid w:val="00687F8B"/>
    <w:rsid w:val="00693356"/>
    <w:rsid w:val="00693A4D"/>
    <w:rsid w:val="00694665"/>
    <w:rsid w:val="00694D87"/>
    <w:rsid w:val="0069518C"/>
    <w:rsid w:val="006A5910"/>
    <w:rsid w:val="006A7CE0"/>
    <w:rsid w:val="006B2268"/>
    <w:rsid w:val="006B41C1"/>
    <w:rsid w:val="006B6B72"/>
    <w:rsid w:val="006B7800"/>
    <w:rsid w:val="006C0CC3"/>
    <w:rsid w:val="006C417A"/>
    <w:rsid w:val="006C540C"/>
    <w:rsid w:val="006C6A9E"/>
    <w:rsid w:val="006D14BB"/>
    <w:rsid w:val="006D32FA"/>
    <w:rsid w:val="006D6F18"/>
    <w:rsid w:val="006D7B6C"/>
    <w:rsid w:val="006E14A9"/>
    <w:rsid w:val="006E2177"/>
    <w:rsid w:val="006E31CD"/>
    <w:rsid w:val="006E42C8"/>
    <w:rsid w:val="006E5A52"/>
    <w:rsid w:val="006E611E"/>
    <w:rsid w:val="006E66AD"/>
    <w:rsid w:val="006F1C37"/>
    <w:rsid w:val="006F2077"/>
    <w:rsid w:val="006F238C"/>
    <w:rsid w:val="006F3372"/>
    <w:rsid w:val="006F622A"/>
    <w:rsid w:val="006F75E4"/>
    <w:rsid w:val="00700CA6"/>
    <w:rsid w:val="007010C7"/>
    <w:rsid w:val="00702C52"/>
    <w:rsid w:val="00703E8A"/>
    <w:rsid w:val="00705A23"/>
    <w:rsid w:val="0070793E"/>
    <w:rsid w:val="00726165"/>
    <w:rsid w:val="00727507"/>
    <w:rsid w:val="00730C12"/>
    <w:rsid w:val="0073199C"/>
    <w:rsid w:val="00731AC4"/>
    <w:rsid w:val="00732017"/>
    <w:rsid w:val="00732B6B"/>
    <w:rsid w:val="00737833"/>
    <w:rsid w:val="00740EC7"/>
    <w:rsid w:val="007427F2"/>
    <w:rsid w:val="00742E6D"/>
    <w:rsid w:val="007460D0"/>
    <w:rsid w:val="007478E3"/>
    <w:rsid w:val="00747D47"/>
    <w:rsid w:val="007528B8"/>
    <w:rsid w:val="00753796"/>
    <w:rsid w:val="0075496C"/>
    <w:rsid w:val="00755272"/>
    <w:rsid w:val="007555A5"/>
    <w:rsid w:val="00755625"/>
    <w:rsid w:val="00762514"/>
    <w:rsid w:val="007638D8"/>
    <w:rsid w:val="00764BC3"/>
    <w:rsid w:val="00764F16"/>
    <w:rsid w:val="007651AE"/>
    <w:rsid w:val="0076644C"/>
    <w:rsid w:val="00766CF5"/>
    <w:rsid w:val="00771C20"/>
    <w:rsid w:val="00773620"/>
    <w:rsid w:val="007750CC"/>
    <w:rsid w:val="00777CAA"/>
    <w:rsid w:val="00781E90"/>
    <w:rsid w:val="0078648A"/>
    <w:rsid w:val="00791207"/>
    <w:rsid w:val="00793010"/>
    <w:rsid w:val="007A1768"/>
    <w:rsid w:val="007A1881"/>
    <w:rsid w:val="007A2F55"/>
    <w:rsid w:val="007A31E2"/>
    <w:rsid w:val="007A4918"/>
    <w:rsid w:val="007A59CC"/>
    <w:rsid w:val="007A6D59"/>
    <w:rsid w:val="007B28F6"/>
    <w:rsid w:val="007B44D7"/>
    <w:rsid w:val="007B5954"/>
    <w:rsid w:val="007C1157"/>
    <w:rsid w:val="007C32A0"/>
    <w:rsid w:val="007D148E"/>
    <w:rsid w:val="007D1AB6"/>
    <w:rsid w:val="007D511F"/>
    <w:rsid w:val="007E340B"/>
    <w:rsid w:val="007E3965"/>
    <w:rsid w:val="007E4FE4"/>
    <w:rsid w:val="007F0906"/>
    <w:rsid w:val="007F0C33"/>
    <w:rsid w:val="007F5E4F"/>
    <w:rsid w:val="007F693F"/>
    <w:rsid w:val="00802434"/>
    <w:rsid w:val="008137B5"/>
    <w:rsid w:val="008202A1"/>
    <w:rsid w:val="00820D9A"/>
    <w:rsid w:val="00821DE2"/>
    <w:rsid w:val="00821F0E"/>
    <w:rsid w:val="00822367"/>
    <w:rsid w:val="00824DAE"/>
    <w:rsid w:val="00833808"/>
    <w:rsid w:val="00834895"/>
    <w:rsid w:val="008353A1"/>
    <w:rsid w:val="008365FD"/>
    <w:rsid w:val="008376EF"/>
    <w:rsid w:val="008427FE"/>
    <w:rsid w:val="00842F70"/>
    <w:rsid w:val="00847BA5"/>
    <w:rsid w:val="00854C54"/>
    <w:rsid w:val="00864BBC"/>
    <w:rsid w:val="008676E2"/>
    <w:rsid w:val="00876641"/>
    <w:rsid w:val="00877E50"/>
    <w:rsid w:val="00880938"/>
    <w:rsid w:val="00881BBB"/>
    <w:rsid w:val="00883002"/>
    <w:rsid w:val="00884423"/>
    <w:rsid w:val="00884434"/>
    <w:rsid w:val="00887B22"/>
    <w:rsid w:val="0089283D"/>
    <w:rsid w:val="00897D15"/>
    <w:rsid w:val="008A00BB"/>
    <w:rsid w:val="008A0D05"/>
    <w:rsid w:val="008A38C2"/>
    <w:rsid w:val="008A52E8"/>
    <w:rsid w:val="008A61E7"/>
    <w:rsid w:val="008A65D1"/>
    <w:rsid w:val="008B6067"/>
    <w:rsid w:val="008B61E6"/>
    <w:rsid w:val="008C0768"/>
    <w:rsid w:val="008C1D0A"/>
    <w:rsid w:val="008D1E25"/>
    <w:rsid w:val="008D733B"/>
    <w:rsid w:val="008E0085"/>
    <w:rsid w:val="008E2186"/>
    <w:rsid w:val="008F0DD4"/>
    <w:rsid w:val="008F41E0"/>
    <w:rsid w:val="008F5D86"/>
    <w:rsid w:val="008F6024"/>
    <w:rsid w:val="0090200F"/>
    <w:rsid w:val="00903FFA"/>
    <w:rsid w:val="009047E4"/>
    <w:rsid w:val="00905C06"/>
    <w:rsid w:val="009065C9"/>
    <w:rsid w:val="00907776"/>
    <w:rsid w:val="00907A0F"/>
    <w:rsid w:val="009126B3"/>
    <w:rsid w:val="00914554"/>
    <w:rsid w:val="009152A3"/>
    <w:rsid w:val="009152C4"/>
    <w:rsid w:val="00915FDA"/>
    <w:rsid w:val="009175D2"/>
    <w:rsid w:val="00931D7D"/>
    <w:rsid w:val="00935B81"/>
    <w:rsid w:val="009362DF"/>
    <w:rsid w:val="0094585B"/>
    <w:rsid w:val="0095079B"/>
    <w:rsid w:val="00950EB5"/>
    <w:rsid w:val="009524A8"/>
    <w:rsid w:val="00953BA1"/>
    <w:rsid w:val="00954D08"/>
    <w:rsid w:val="009555BC"/>
    <w:rsid w:val="00957BE9"/>
    <w:rsid w:val="009633B4"/>
    <w:rsid w:val="00963C94"/>
    <w:rsid w:val="00965B60"/>
    <w:rsid w:val="009712EC"/>
    <w:rsid w:val="009756FB"/>
    <w:rsid w:val="00981936"/>
    <w:rsid w:val="00981C61"/>
    <w:rsid w:val="00982D68"/>
    <w:rsid w:val="0098402C"/>
    <w:rsid w:val="0098439D"/>
    <w:rsid w:val="009930CA"/>
    <w:rsid w:val="00993BD0"/>
    <w:rsid w:val="00994160"/>
    <w:rsid w:val="009A39F1"/>
    <w:rsid w:val="009A40F5"/>
    <w:rsid w:val="009A539B"/>
    <w:rsid w:val="009A752C"/>
    <w:rsid w:val="009B06ED"/>
    <w:rsid w:val="009B4D5A"/>
    <w:rsid w:val="009B5211"/>
    <w:rsid w:val="009C0E05"/>
    <w:rsid w:val="009C2157"/>
    <w:rsid w:val="009C2635"/>
    <w:rsid w:val="009C33E1"/>
    <w:rsid w:val="009C63D1"/>
    <w:rsid w:val="009C768A"/>
    <w:rsid w:val="009C7815"/>
    <w:rsid w:val="009D0AC1"/>
    <w:rsid w:val="009D0C2B"/>
    <w:rsid w:val="009D300B"/>
    <w:rsid w:val="009E2BD0"/>
    <w:rsid w:val="009E4941"/>
    <w:rsid w:val="009E6525"/>
    <w:rsid w:val="009E7A2E"/>
    <w:rsid w:val="009F2241"/>
    <w:rsid w:val="009F23BD"/>
    <w:rsid w:val="00A01B84"/>
    <w:rsid w:val="00A01F4E"/>
    <w:rsid w:val="00A022BF"/>
    <w:rsid w:val="00A04EFC"/>
    <w:rsid w:val="00A07A07"/>
    <w:rsid w:val="00A127BB"/>
    <w:rsid w:val="00A15F08"/>
    <w:rsid w:val="00A1619B"/>
    <w:rsid w:val="00A16916"/>
    <w:rsid w:val="00A16AB8"/>
    <w:rsid w:val="00A175E9"/>
    <w:rsid w:val="00A21819"/>
    <w:rsid w:val="00A24E3A"/>
    <w:rsid w:val="00A254BD"/>
    <w:rsid w:val="00A25A57"/>
    <w:rsid w:val="00A27AFF"/>
    <w:rsid w:val="00A35755"/>
    <w:rsid w:val="00A358FD"/>
    <w:rsid w:val="00A37684"/>
    <w:rsid w:val="00A41AE3"/>
    <w:rsid w:val="00A45CF4"/>
    <w:rsid w:val="00A47206"/>
    <w:rsid w:val="00A50CD6"/>
    <w:rsid w:val="00A52A71"/>
    <w:rsid w:val="00A55BE9"/>
    <w:rsid w:val="00A573DC"/>
    <w:rsid w:val="00A606CA"/>
    <w:rsid w:val="00A60FA1"/>
    <w:rsid w:val="00A63334"/>
    <w:rsid w:val="00A6339A"/>
    <w:rsid w:val="00A63E34"/>
    <w:rsid w:val="00A725A4"/>
    <w:rsid w:val="00A80D7B"/>
    <w:rsid w:val="00A83290"/>
    <w:rsid w:val="00A87910"/>
    <w:rsid w:val="00A9135B"/>
    <w:rsid w:val="00A9644B"/>
    <w:rsid w:val="00A97FDD"/>
    <w:rsid w:val="00AB34C4"/>
    <w:rsid w:val="00AB4071"/>
    <w:rsid w:val="00AB4EBC"/>
    <w:rsid w:val="00AB541D"/>
    <w:rsid w:val="00AB62C1"/>
    <w:rsid w:val="00AB6F3B"/>
    <w:rsid w:val="00AB7900"/>
    <w:rsid w:val="00AC1B2C"/>
    <w:rsid w:val="00AC49A1"/>
    <w:rsid w:val="00AC4FDF"/>
    <w:rsid w:val="00AC6821"/>
    <w:rsid w:val="00AC7A7E"/>
    <w:rsid w:val="00AD0EE0"/>
    <w:rsid w:val="00AD2F06"/>
    <w:rsid w:val="00AD3D8A"/>
    <w:rsid w:val="00AD4D7C"/>
    <w:rsid w:val="00AD5DEE"/>
    <w:rsid w:val="00AD6542"/>
    <w:rsid w:val="00AD671F"/>
    <w:rsid w:val="00AE07C9"/>
    <w:rsid w:val="00AE30C0"/>
    <w:rsid w:val="00AE59DF"/>
    <w:rsid w:val="00AF1BC3"/>
    <w:rsid w:val="00AF69E5"/>
    <w:rsid w:val="00AF6B3E"/>
    <w:rsid w:val="00AF7915"/>
    <w:rsid w:val="00B005FC"/>
    <w:rsid w:val="00B01934"/>
    <w:rsid w:val="00B03247"/>
    <w:rsid w:val="00B0737D"/>
    <w:rsid w:val="00B07BC1"/>
    <w:rsid w:val="00B12838"/>
    <w:rsid w:val="00B14805"/>
    <w:rsid w:val="00B15470"/>
    <w:rsid w:val="00B15624"/>
    <w:rsid w:val="00B20B0D"/>
    <w:rsid w:val="00B218AD"/>
    <w:rsid w:val="00B21F95"/>
    <w:rsid w:val="00B229EA"/>
    <w:rsid w:val="00B2414D"/>
    <w:rsid w:val="00B26EDD"/>
    <w:rsid w:val="00B31A6C"/>
    <w:rsid w:val="00B355D6"/>
    <w:rsid w:val="00B35AB9"/>
    <w:rsid w:val="00B36DB1"/>
    <w:rsid w:val="00B42E00"/>
    <w:rsid w:val="00B462AB"/>
    <w:rsid w:val="00B507CD"/>
    <w:rsid w:val="00B54712"/>
    <w:rsid w:val="00B56C25"/>
    <w:rsid w:val="00B57187"/>
    <w:rsid w:val="00B64F5A"/>
    <w:rsid w:val="00B65B76"/>
    <w:rsid w:val="00B65F0D"/>
    <w:rsid w:val="00B706F8"/>
    <w:rsid w:val="00B715DA"/>
    <w:rsid w:val="00B72F87"/>
    <w:rsid w:val="00B7428E"/>
    <w:rsid w:val="00B74630"/>
    <w:rsid w:val="00B76CCA"/>
    <w:rsid w:val="00B835CF"/>
    <w:rsid w:val="00B908C2"/>
    <w:rsid w:val="00B90B40"/>
    <w:rsid w:val="00BA057E"/>
    <w:rsid w:val="00BA0E02"/>
    <w:rsid w:val="00BA16AA"/>
    <w:rsid w:val="00BA1DAE"/>
    <w:rsid w:val="00BA210A"/>
    <w:rsid w:val="00BA219A"/>
    <w:rsid w:val="00BA27C2"/>
    <w:rsid w:val="00BA28CD"/>
    <w:rsid w:val="00BA72BF"/>
    <w:rsid w:val="00BB3481"/>
    <w:rsid w:val="00BB4836"/>
    <w:rsid w:val="00BC2FA3"/>
    <w:rsid w:val="00BC397D"/>
    <w:rsid w:val="00BC5083"/>
    <w:rsid w:val="00BC63DA"/>
    <w:rsid w:val="00BC64C0"/>
    <w:rsid w:val="00BD219E"/>
    <w:rsid w:val="00BE660A"/>
    <w:rsid w:val="00BE7D13"/>
    <w:rsid w:val="00BF052F"/>
    <w:rsid w:val="00BF172C"/>
    <w:rsid w:val="00BF1F6A"/>
    <w:rsid w:val="00BF444D"/>
    <w:rsid w:val="00BF7D79"/>
    <w:rsid w:val="00C02678"/>
    <w:rsid w:val="00C02E9D"/>
    <w:rsid w:val="00C05CA5"/>
    <w:rsid w:val="00C05E4F"/>
    <w:rsid w:val="00C06980"/>
    <w:rsid w:val="00C1213A"/>
    <w:rsid w:val="00C24105"/>
    <w:rsid w:val="00C24123"/>
    <w:rsid w:val="00C24F37"/>
    <w:rsid w:val="00C31282"/>
    <w:rsid w:val="00C3144F"/>
    <w:rsid w:val="00C337A4"/>
    <w:rsid w:val="00C44327"/>
    <w:rsid w:val="00C44F85"/>
    <w:rsid w:val="00C463D2"/>
    <w:rsid w:val="00C47BA6"/>
    <w:rsid w:val="00C5017A"/>
    <w:rsid w:val="00C515B4"/>
    <w:rsid w:val="00C612AE"/>
    <w:rsid w:val="00C64850"/>
    <w:rsid w:val="00C65874"/>
    <w:rsid w:val="00C66A24"/>
    <w:rsid w:val="00C71EEF"/>
    <w:rsid w:val="00C737F1"/>
    <w:rsid w:val="00C7768E"/>
    <w:rsid w:val="00C77BDB"/>
    <w:rsid w:val="00C825D3"/>
    <w:rsid w:val="00C8416E"/>
    <w:rsid w:val="00C84C22"/>
    <w:rsid w:val="00C917FD"/>
    <w:rsid w:val="00C91BE5"/>
    <w:rsid w:val="00C91FC4"/>
    <w:rsid w:val="00C928AB"/>
    <w:rsid w:val="00C93764"/>
    <w:rsid w:val="00C969CC"/>
    <w:rsid w:val="00CA4F84"/>
    <w:rsid w:val="00CA7BC0"/>
    <w:rsid w:val="00CB07D2"/>
    <w:rsid w:val="00CB092F"/>
    <w:rsid w:val="00CB1061"/>
    <w:rsid w:val="00CB145C"/>
    <w:rsid w:val="00CB2D2C"/>
    <w:rsid w:val="00CB2E19"/>
    <w:rsid w:val="00CB47C3"/>
    <w:rsid w:val="00CB6AAA"/>
    <w:rsid w:val="00CC2E7A"/>
    <w:rsid w:val="00CC3243"/>
    <w:rsid w:val="00CC3369"/>
    <w:rsid w:val="00CD1639"/>
    <w:rsid w:val="00CD3ED0"/>
    <w:rsid w:val="00CD3EFA"/>
    <w:rsid w:val="00CD61FB"/>
    <w:rsid w:val="00CE1F03"/>
    <w:rsid w:val="00CE28FE"/>
    <w:rsid w:val="00CE3D00"/>
    <w:rsid w:val="00CE3D8E"/>
    <w:rsid w:val="00CE5EA6"/>
    <w:rsid w:val="00CE78D1"/>
    <w:rsid w:val="00CF0933"/>
    <w:rsid w:val="00CF1FFF"/>
    <w:rsid w:val="00CF3874"/>
    <w:rsid w:val="00CF3D04"/>
    <w:rsid w:val="00CF58F5"/>
    <w:rsid w:val="00CF6CD2"/>
    <w:rsid w:val="00CF7BB4"/>
    <w:rsid w:val="00CF7EEC"/>
    <w:rsid w:val="00D04531"/>
    <w:rsid w:val="00D06274"/>
    <w:rsid w:val="00D07290"/>
    <w:rsid w:val="00D1127C"/>
    <w:rsid w:val="00D14240"/>
    <w:rsid w:val="00D1592E"/>
    <w:rsid w:val="00D1614C"/>
    <w:rsid w:val="00D16368"/>
    <w:rsid w:val="00D227FB"/>
    <w:rsid w:val="00D2349E"/>
    <w:rsid w:val="00D25930"/>
    <w:rsid w:val="00D27E02"/>
    <w:rsid w:val="00D3053B"/>
    <w:rsid w:val="00D308A4"/>
    <w:rsid w:val="00D312E5"/>
    <w:rsid w:val="00D46D90"/>
    <w:rsid w:val="00D505A2"/>
    <w:rsid w:val="00D536EA"/>
    <w:rsid w:val="00D571DE"/>
    <w:rsid w:val="00D603F0"/>
    <w:rsid w:val="00D619C5"/>
    <w:rsid w:val="00D62118"/>
    <w:rsid w:val="00D62C4D"/>
    <w:rsid w:val="00D65EF1"/>
    <w:rsid w:val="00D755CD"/>
    <w:rsid w:val="00D8016C"/>
    <w:rsid w:val="00D927CC"/>
    <w:rsid w:val="00D92A3D"/>
    <w:rsid w:val="00D97105"/>
    <w:rsid w:val="00DA0000"/>
    <w:rsid w:val="00DA2593"/>
    <w:rsid w:val="00DB0A6B"/>
    <w:rsid w:val="00DB0DD2"/>
    <w:rsid w:val="00DB1358"/>
    <w:rsid w:val="00DB1717"/>
    <w:rsid w:val="00DB28EB"/>
    <w:rsid w:val="00DB6366"/>
    <w:rsid w:val="00DC1267"/>
    <w:rsid w:val="00DC1F2B"/>
    <w:rsid w:val="00DC2F4C"/>
    <w:rsid w:val="00DC3B44"/>
    <w:rsid w:val="00DC72AD"/>
    <w:rsid w:val="00DD0677"/>
    <w:rsid w:val="00DD326F"/>
    <w:rsid w:val="00DD3877"/>
    <w:rsid w:val="00DD7785"/>
    <w:rsid w:val="00DE5084"/>
    <w:rsid w:val="00DE5AA4"/>
    <w:rsid w:val="00DF5154"/>
    <w:rsid w:val="00DF697A"/>
    <w:rsid w:val="00E0014A"/>
    <w:rsid w:val="00E018E0"/>
    <w:rsid w:val="00E01973"/>
    <w:rsid w:val="00E051B0"/>
    <w:rsid w:val="00E0778D"/>
    <w:rsid w:val="00E144EB"/>
    <w:rsid w:val="00E15280"/>
    <w:rsid w:val="00E1705C"/>
    <w:rsid w:val="00E23F50"/>
    <w:rsid w:val="00E25569"/>
    <w:rsid w:val="00E26F0B"/>
    <w:rsid w:val="00E27B58"/>
    <w:rsid w:val="00E3375C"/>
    <w:rsid w:val="00E33BFB"/>
    <w:rsid w:val="00E33FFA"/>
    <w:rsid w:val="00E34110"/>
    <w:rsid w:val="00E35500"/>
    <w:rsid w:val="00E3698A"/>
    <w:rsid w:val="00E40FE3"/>
    <w:rsid w:val="00E4233F"/>
    <w:rsid w:val="00E44D31"/>
    <w:rsid w:val="00E47023"/>
    <w:rsid w:val="00E54194"/>
    <w:rsid w:val="00E557A5"/>
    <w:rsid w:val="00E601A2"/>
    <w:rsid w:val="00E60F6C"/>
    <w:rsid w:val="00E61708"/>
    <w:rsid w:val="00E645AF"/>
    <w:rsid w:val="00E660FB"/>
    <w:rsid w:val="00E6717F"/>
    <w:rsid w:val="00E67402"/>
    <w:rsid w:val="00E7128F"/>
    <w:rsid w:val="00E74548"/>
    <w:rsid w:val="00E751D9"/>
    <w:rsid w:val="00E77198"/>
    <w:rsid w:val="00E77931"/>
    <w:rsid w:val="00E80DAB"/>
    <w:rsid w:val="00E821A6"/>
    <w:rsid w:val="00E822A1"/>
    <w:rsid w:val="00E83E23"/>
    <w:rsid w:val="00E878EE"/>
    <w:rsid w:val="00E94733"/>
    <w:rsid w:val="00EA3AD1"/>
    <w:rsid w:val="00EB1248"/>
    <w:rsid w:val="00EB206E"/>
    <w:rsid w:val="00EB261C"/>
    <w:rsid w:val="00EB2F4B"/>
    <w:rsid w:val="00EB6367"/>
    <w:rsid w:val="00EB6D8A"/>
    <w:rsid w:val="00EC05F8"/>
    <w:rsid w:val="00EC08EF"/>
    <w:rsid w:val="00EC6AF4"/>
    <w:rsid w:val="00EC726C"/>
    <w:rsid w:val="00ED236E"/>
    <w:rsid w:val="00ED2A8C"/>
    <w:rsid w:val="00ED4CC4"/>
    <w:rsid w:val="00EE03CA"/>
    <w:rsid w:val="00EE0A69"/>
    <w:rsid w:val="00EE7199"/>
    <w:rsid w:val="00EF214E"/>
    <w:rsid w:val="00EF31D9"/>
    <w:rsid w:val="00EF45AA"/>
    <w:rsid w:val="00EF5092"/>
    <w:rsid w:val="00F006E3"/>
    <w:rsid w:val="00F03CEF"/>
    <w:rsid w:val="00F04A7E"/>
    <w:rsid w:val="00F05E7A"/>
    <w:rsid w:val="00F06BB8"/>
    <w:rsid w:val="00F06CB6"/>
    <w:rsid w:val="00F111F4"/>
    <w:rsid w:val="00F14469"/>
    <w:rsid w:val="00F2066D"/>
    <w:rsid w:val="00F21855"/>
    <w:rsid w:val="00F24760"/>
    <w:rsid w:val="00F30026"/>
    <w:rsid w:val="00F3220D"/>
    <w:rsid w:val="00F34433"/>
    <w:rsid w:val="00F36C4D"/>
    <w:rsid w:val="00F37CE4"/>
    <w:rsid w:val="00F41A9B"/>
    <w:rsid w:val="00F516E1"/>
    <w:rsid w:val="00F52495"/>
    <w:rsid w:val="00F5475C"/>
    <w:rsid w:val="00F61348"/>
    <w:rsid w:val="00F658D5"/>
    <w:rsid w:val="00F65E01"/>
    <w:rsid w:val="00F73746"/>
    <w:rsid w:val="00F764AD"/>
    <w:rsid w:val="00F80578"/>
    <w:rsid w:val="00F80642"/>
    <w:rsid w:val="00F82882"/>
    <w:rsid w:val="00F836B3"/>
    <w:rsid w:val="00F84B07"/>
    <w:rsid w:val="00F923F0"/>
    <w:rsid w:val="00F936A3"/>
    <w:rsid w:val="00F95A2D"/>
    <w:rsid w:val="00F95F05"/>
    <w:rsid w:val="00F978E2"/>
    <w:rsid w:val="00F97BA9"/>
    <w:rsid w:val="00FA119B"/>
    <w:rsid w:val="00FA2745"/>
    <w:rsid w:val="00FA4E25"/>
    <w:rsid w:val="00FA7E07"/>
    <w:rsid w:val="00FB05E9"/>
    <w:rsid w:val="00FB0D8C"/>
    <w:rsid w:val="00FB19B8"/>
    <w:rsid w:val="00FB2A90"/>
    <w:rsid w:val="00FB7A07"/>
    <w:rsid w:val="00FD3F03"/>
    <w:rsid w:val="00FD4E12"/>
    <w:rsid w:val="00FD5890"/>
    <w:rsid w:val="00FE2B63"/>
    <w:rsid w:val="00FE75CF"/>
    <w:rsid w:val="00FF182F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8E65B3"/>
  <w15:docId w15:val="{A80AF2BE-AFB1-43CA-A435-5C8C2E98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5A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1D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31D7D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50EB5"/>
    <w:rPr>
      <w:color w:val="0000FF"/>
      <w:u w:val="single"/>
    </w:rPr>
  </w:style>
  <w:style w:type="paragraph" w:styleId="ListParagraph">
    <w:name w:val="List Paragraph"/>
    <w:aliases w:val="Heading next,Colorful List - Accent 11,Mummuga loetelu,Bullet alinea,Dot pt,F5 List Paragraph,List Paragraph1,No Spacing1,List Paragraph Char Char Char,Indicator Text,Numbered Para 1,Bullet 1,Bullet Points,Párrafo de lista,MAIN CONTENT"/>
    <w:basedOn w:val="Normal"/>
    <w:link w:val="ListParagraphChar"/>
    <w:uiPriority w:val="34"/>
    <w:qFormat/>
    <w:rsid w:val="00950E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Heading next Char,Colorful List - Accent 11 Char,Mummuga loetelu Char,Bullet alinea Char,Dot pt Char,F5 List Paragraph Char,List Paragraph1 Char,No Spacing1 Char,List Paragraph Char Char Char Char,Indicator Text Char,Bullet 1 Char"/>
    <w:link w:val="ListParagraph"/>
    <w:uiPriority w:val="34"/>
    <w:qFormat/>
    <w:rsid w:val="00950EB5"/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aliases w:val="fn,Footnote Text Char Char Char Char Char Char,single space,footnote text,FOOTNOTES,WB-Fußnotentext,Footnote,Fußnote,ADB,Footnote Text qer,Footnote text,single space Char Char,pod carou,Footnote Text WBR,WBR,ft,Char,f,ALTS FOOTNOTE,Fuﬂnote"/>
    <w:basedOn w:val="Normal"/>
    <w:link w:val="FootnoteTextChar"/>
    <w:uiPriority w:val="99"/>
    <w:unhideWhenUsed/>
    <w:qFormat/>
    <w:rsid w:val="00950EB5"/>
    <w:rPr>
      <w:rFonts w:ascii="Calibri" w:eastAsia="Calibri" w:hAnsi="Calibri"/>
      <w:sz w:val="22"/>
      <w:szCs w:val="22"/>
      <w:lang w:val="x-none" w:eastAsia="x-none"/>
    </w:rPr>
  </w:style>
  <w:style w:type="character" w:customStyle="1" w:styleId="FootnoteTextChar">
    <w:name w:val="Footnote Text Char"/>
    <w:aliases w:val="fn Char,Footnote Text Char Char Char Char Char Char Char,single space Char,footnote text Char,FOOTNOTES Char,WB-Fußnotentext Char,Footnote Char,Fußnote Char,ADB Char,Footnote Text qer Char,Footnote text Char,pod carou Char,WBR Char"/>
    <w:basedOn w:val="DefaultParagraphFont"/>
    <w:link w:val="FootnoteText"/>
    <w:uiPriority w:val="99"/>
    <w:rsid w:val="00950EB5"/>
    <w:rPr>
      <w:rFonts w:ascii="Calibri" w:eastAsia="Calibri" w:hAnsi="Calibri"/>
      <w:sz w:val="22"/>
      <w:szCs w:val="22"/>
      <w:lang w:val="x-none" w:eastAsia="x-none"/>
    </w:rPr>
  </w:style>
  <w:style w:type="character" w:styleId="FootnoteReference">
    <w:name w:val="footnote reference"/>
    <w:aliases w:val="ftref,BVI fnr,16 Point,Superscript 6 Point,Знак сноски-FN,Footnote Reference Superscript,Footnote symbol,???? ??????-FN,Footnote Reference Number,Footnote Reference_LVL6,Footnote Reference_LVL61,Footnote Reference_LVL62,footnote ref,R"/>
    <w:link w:val="CarattereCarattereCharCharCharCharCharCharZchn"/>
    <w:uiPriority w:val="99"/>
    <w:unhideWhenUsed/>
    <w:qFormat/>
    <w:rsid w:val="00950EB5"/>
    <w:rPr>
      <w:vertAlign w:val="superscript"/>
    </w:rPr>
  </w:style>
  <w:style w:type="paragraph" w:customStyle="1" w:styleId="CarattereCarattereCharCharCharCharCharCharZchn">
    <w:name w:val="Carattere Carattere Char Char Char Char Char Char Zchn"/>
    <w:aliases w:val="ftref Char Char Char Char Char Char Zchn,Char Char Char Char Char Char Char Char Zchn,ftref Char Char Char1 Zchn,Carattere Carattere Char Char Char Char Char Char Char Zchn"/>
    <w:basedOn w:val="Normal"/>
    <w:next w:val="Normal"/>
    <w:link w:val="FootnoteReference"/>
    <w:uiPriority w:val="99"/>
    <w:rsid w:val="00950EB5"/>
    <w:pPr>
      <w:spacing w:after="160" w:line="240" w:lineRule="exact"/>
      <w:jc w:val="both"/>
    </w:pPr>
    <w:rPr>
      <w:sz w:val="20"/>
      <w:szCs w:val="20"/>
      <w:vertAlign w:val="superscript"/>
    </w:rPr>
  </w:style>
  <w:style w:type="paragraph" w:customStyle="1" w:styleId="Default">
    <w:name w:val="Default"/>
    <w:qFormat/>
    <w:rsid w:val="00CB2E19"/>
    <w:pPr>
      <w:pBdr>
        <w:top w:val="nil"/>
        <w:left w:val="nil"/>
        <w:bottom w:val="nil"/>
        <w:right w:val="nil"/>
        <w:between w:val="nil"/>
        <w:bar w:val="nil"/>
      </w:pBdr>
      <w:spacing w:after="80" w:line="288" w:lineRule="auto"/>
    </w:pPr>
    <w:rPr>
      <w:rFonts w:ascii="Baskerville" w:eastAsia="Arial Unicode MS" w:hAnsi="Baskerville" w:cs="Arial Unicode MS"/>
      <w:color w:val="434343"/>
      <w:sz w:val="24"/>
      <w:szCs w:val="24"/>
      <w:u w:color="434343"/>
      <w:bdr w:val="nil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09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9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9F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0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09F5"/>
    <w:rPr>
      <w:b/>
      <w:bCs/>
    </w:rPr>
  </w:style>
  <w:style w:type="character" w:styleId="Strong">
    <w:name w:val="Strong"/>
    <w:basedOn w:val="DefaultParagraphFont"/>
    <w:uiPriority w:val="22"/>
    <w:qFormat/>
    <w:rsid w:val="006E31CD"/>
    <w:rPr>
      <w:b/>
      <w:bCs/>
    </w:rPr>
  </w:style>
  <w:style w:type="character" w:styleId="Emphasis">
    <w:name w:val="Emphasis"/>
    <w:basedOn w:val="DefaultParagraphFont"/>
    <w:uiPriority w:val="20"/>
    <w:qFormat/>
    <w:rsid w:val="006E31C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31D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1D7D"/>
    <w:rPr>
      <w:b/>
      <w:bCs/>
      <w:sz w:val="36"/>
      <w:szCs w:val="36"/>
      <w:lang w:val="en-US" w:eastAsia="en-US"/>
    </w:rPr>
  </w:style>
  <w:style w:type="paragraph" w:styleId="NormalWeb">
    <w:name w:val="Normal (Web)"/>
    <w:basedOn w:val="Normal"/>
    <w:uiPriority w:val="99"/>
    <w:unhideWhenUsed/>
    <w:rsid w:val="00931D7D"/>
    <w:pPr>
      <w:spacing w:before="100" w:beforeAutospacing="1" w:after="100" w:afterAutospacing="1"/>
    </w:pPr>
    <w:rPr>
      <w:rFonts w:eastAsiaTheme="minorHAnsi"/>
      <w:lang w:val="en-US" w:eastAsia="en-US"/>
    </w:rPr>
  </w:style>
  <w:style w:type="paragraph" w:customStyle="1" w:styleId="Normal1">
    <w:name w:val="Normal1"/>
    <w:basedOn w:val="Normal"/>
    <w:rsid w:val="00931D7D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931D7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2">
    <w:name w:val="Normal2"/>
    <w:basedOn w:val="Normal"/>
    <w:rsid w:val="00931D7D"/>
    <w:pPr>
      <w:spacing w:before="100" w:beforeAutospacing="1" w:after="100" w:afterAutospacing="1"/>
    </w:pPr>
    <w:rPr>
      <w:lang w:val="en-US" w:eastAsia="en-US"/>
    </w:rPr>
  </w:style>
  <w:style w:type="paragraph" w:customStyle="1" w:styleId="ti-art">
    <w:name w:val="ti-art"/>
    <w:basedOn w:val="Normal"/>
    <w:rsid w:val="00931D7D"/>
    <w:pPr>
      <w:spacing w:before="100" w:beforeAutospacing="1" w:after="100" w:afterAutospacing="1"/>
    </w:pPr>
    <w:rPr>
      <w:lang w:val="en-US" w:eastAsia="en-US"/>
    </w:rPr>
  </w:style>
  <w:style w:type="paragraph" w:customStyle="1" w:styleId="sti-art">
    <w:name w:val="sti-art"/>
    <w:basedOn w:val="Normal"/>
    <w:rsid w:val="00931D7D"/>
    <w:pPr>
      <w:spacing w:before="100" w:beforeAutospacing="1" w:after="100" w:afterAutospacing="1"/>
    </w:pPr>
    <w:rPr>
      <w:lang w:val="en-US" w:eastAsia="en-US"/>
    </w:rPr>
  </w:style>
  <w:style w:type="paragraph" w:customStyle="1" w:styleId="Normal3">
    <w:name w:val="Normal3"/>
    <w:basedOn w:val="Normal"/>
    <w:rsid w:val="00931D7D"/>
    <w:pPr>
      <w:spacing w:before="100" w:beforeAutospacing="1" w:after="100" w:afterAutospacing="1"/>
    </w:pPr>
    <w:rPr>
      <w:lang w:val="en-US" w:eastAsia="en-US"/>
    </w:rPr>
  </w:style>
  <w:style w:type="paragraph" w:customStyle="1" w:styleId="t-9-8-bez-uvl">
    <w:name w:val="t-9-8-bez-uvl"/>
    <w:basedOn w:val="Normal"/>
    <w:rsid w:val="00931D7D"/>
    <w:pPr>
      <w:spacing w:before="100" w:beforeAutospacing="1" w:after="100" w:afterAutospacing="1"/>
    </w:pPr>
    <w:rPr>
      <w:lang w:val="en-US" w:eastAsia="en-US"/>
    </w:rPr>
  </w:style>
  <w:style w:type="character" w:customStyle="1" w:styleId="hps">
    <w:name w:val="hps"/>
    <w:basedOn w:val="DefaultParagraphFont"/>
    <w:rsid w:val="00931D7D"/>
  </w:style>
  <w:style w:type="paragraph" w:customStyle="1" w:styleId="t-9-8">
    <w:name w:val="t-9-8"/>
    <w:basedOn w:val="Normal"/>
    <w:rsid w:val="00931D7D"/>
    <w:pPr>
      <w:spacing w:before="100" w:beforeAutospacing="1" w:after="100" w:afterAutospacing="1"/>
    </w:pPr>
    <w:rPr>
      <w:rFonts w:eastAsia="Calibri"/>
    </w:rPr>
  </w:style>
  <w:style w:type="character" w:styleId="FollowedHyperlink">
    <w:name w:val="FollowedHyperlink"/>
    <w:basedOn w:val="DefaultParagraphFont"/>
    <w:semiHidden/>
    <w:unhideWhenUsed/>
    <w:rsid w:val="00931D7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31D7D"/>
    <w:rPr>
      <w:sz w:val="24"/>
      <w:szCs w:val="24"/>
    </w:rPr>
  </w:style>
  <w:style w:type="character" w:customStyle="1" w:styleId="key">
    <w:name w:val="key"/>
    <w:basedOn w:val="DefaultParagraphFont"/>
    <w:rsid w:val="00931D7D"/>
  </w:style>
  <w:style w:type="character" w:customStyle="1" w:styleId="Absatz-Standardschriftart">
    <w:name w:val="Absatz-Standardschriftart"/>
    <w:rsid w:val="00931D7D"/>
  </w:style>
  <w:style w:type="paragraph" w:customStyle="1" w:styleId="Standard">
    <w:name w:val="Standard"/>
    <w:rsid w:val="00931D7D"/>
    <w:pPr>
      <w:suppressAutoHyphens/>
      <w:autoSpaceDN w:val="0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box455586">
    <w:name w:val="box_455586"/>
    <w:basedOn w:val="Normal"/>
    <w:rsid w:val="00931D7D"/>
    <w:pPr>
      <w:spacing w:before="100" w:beforeAutospacing="1" w:after="100" w:afterAutospacing="1"/>
    </w:pPr>
    <w:rPr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D7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1D7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31D7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textexposedshow">
    <w:name w:val="text_exposed_show"/>
    <w:basedOn w:val="DefaultParagraphFont"/>
    <w:rsid w:val="00884423"/>
  </w:style>
  <w:style w:type="character" w:customStyle="1" w:styleId="cf01">
    <w:name w:val="cf01"/>
    <w:basedOn w:val="DefaultParagraphFont"/>
    <w:rsid w:val="003D52B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D52B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ur-lex.europa.eu/legal-content/HR/TXT/PDF/?uri=CELEX:52024DC0077" TargetMode="External"/><Relationship Id="rId18" Type="http://schemas.openxmlformats.org/officeDocument/2006/relationships/hyperlink" Target="https://eur-lex.europa.eu/legal-content/EN/TXT/PDF/?uri=CELEX:52020SC0054&amp;from=E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vlada.gov.hr/UserDocsImages/Vijesti/2021/srpanj/29%20srpnja/Plan%20oporavka%20i%20otpornosti%2C%20srpanj%202021.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europarl.europa.eu/RegData/etudes/BRIE/2022/730311/EPRS_BRI(2022)730311_EN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joint-research-centre.ec.europa.eu/publications/general-equilibrium-analysis-economic-impact-post-2006-eu-regulation-services-sector_en" TargetMode="External"/><Relationship Id="rId20" Type="http://schemas.openxmlformats.org/officeDocument/2006/relationships/hyperlink" Target="https://www.worldbank.org/en/country/croatia/publication/croatia-ce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ec.europa.eu/docsroom/documents/48877" TargetMode="External"/><Relationship Id="rId23" Type="http://schemas.openxmlformats.org/officeDocument/2006/relationships/hyperlink" Target="https://www.oecd.org/en/topics/sub-issues/product-market-regulation.html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openknowledge.worldbank.org/handle/10986/3396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ingle-market-economy.ec.europa.eu/system/files/2023-01/ASMR%202023.pdf" TargetMode="External"/><Relationship Id="rId22" Type="http://schemas.openxmlformats.org/officeDocument/2006/relationships/hyperlink" Target="https://openknowledge.worldbank.org/entities/publication/7bfeaca7-e215-55a5-a2d9-7f8014e6d3ee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knowledge.worldbank.org/handle/10986/33963" TargetMode="External"/><Relationship Id="rId3" Type="http://schemas.openxmlformats.org/officeDocument/2006/relationships/hyperlink" Target="https://ec.europa.eu/docsroom/documents/48877" TargetMode="External"/><Relationship Id="rId7" Type="http://schemas.openxmlformats.org/officeDocument/2006/relationships/hyperlink" Target="https://eur-lex.europa.eu/legal-content/EN/TXT/PDF/?uri=CELEX:52020SC0054&amp;from=EN" TargetMode="External"/><Relationship Id="rId12" Type="http://schemas.openxmlformats.org/officeDocument/2006/relationships/hyperlink" Target="https://www.oecd.org/en/topics/sub-issues/product-market-regulation.html" TargetMode="External"/><Relationship Id="rId2" Type="http://schemas.openxmlformats.org/officeDocument/2006/relationships/hyperlink" Target="https://single-market-economy.ec.europa.eu/system/files/2023-01/ASMR%202023.pdf" TargetMode="External"/><Relationship Id="rId1" Type="http://schemas.openxmlformats.org/officeDocument/2006/relationships/hyperlink" Target="https://eur-lex.europa.eu/legal-content/HR/TXT/PDF/?uri=CELEX:52024DC0077" TargetMode="External"/><Relationship Id="rId6" Type="http://schemas.openxmlformats.org/officeDocument/2006/relationships/hyperlink" Target="https://www.europarl.europa.eu/RegData/etudes/BRIE/2022/730311/EPRS_BRI(2022)730311_EN.pdf" TargetMode="External"/><Relationship Id="rId11" Type="http://schemas.openxmlformats.org/officeDocument/2006/relationships/hyperlink" Target="https://openknowledge.worldbank.org/entities/publication/7bfeaca7-e215-55a5-a2d9-7f8014e6d3ee" TargetMode="External"/><Relationship Id="rId5" Type="http://schemas.openxmlformats.org/officeDocument/2006/relationships/hyperlink" Target="https://ec.europa.eu/info/files/staff-working-document-annual-single-market-report-2021_en" TargetMode="External"/><Relationship Id="rId10" Type="http://schemas.openxmlformats.org/officeDocument/2006/relationships/hyperlink" Target="https://vlada.gov.hr/UserDocsImages/Vijesti/2021/srpanj/29%20srpnja/Plan%20oporavka%20i%20otpornosti%2C%20srpanj%202021..pdf" TargetMode="External"/><Relationship Id="rId4" Type="http://schemas.openxmlformats.org/officeDocument/2006/relationships/hyperlink" Target="https://joint-research-centre.ec.europa.eu/publications/general-equilibrium-analysis-economic-impact-post-2006-eu-regulation-services-sector_en" TargetMode="External"/><Relationship Id="rId9" Type="http://schemas.openxmlformats.org/officeDocument/2006/relationships/hyperlink" Target="https://www.worldbank.org/en/country/croatia/publication/croatia-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AZJMDCZ6QSYZ-1849078857-45746</_dlc_DocId>
    <_dlc_DocIdUrl xmlns="a494813a-d0d8-4dad-94cb-0d196f36ba15">
      <Url>https://ekoordinacije.vlada.hr/koordinacija-gospodarstvo/_layouts/15/DocIdRedir.aspx?ID=AZJMDCZ6QSYZ-1849078857-45746</Url>
      <Description>AZJMDCZ6QSYZ-1849078857-45746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9063-51D2-4F9D-85F9-28C44461A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876D4-1C8E-4E9E-8A0D-E12A181178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65D29AE-2F14-47EA-A9B7-91EF2BC94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E99189-DD76-425C-95E5-1E81F51DE5C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7193379-C3B1-41A8-9D9A-51FC7709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4030</Words>
  <Characters>22975</Characters>
  <Application>Microsoft Office Word</Application>
  <DocSecurity>0</DocSecurity>
  <Lines>191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Maja Lebarović</cp:lastModifiedBy>
  <cp:revision>12</cp:revision>
  <cp:lastPrinted>2025-04-22T06:10:00Z</cp:lastPrinted>
  <dcterms:created xsi:type="dcterms:W3CDTF">2025-04-07T07:19:00Z</dcterms:created>
  <dcterms:modified xsi:type="dcterms:W3CDTF">2025-05-05T09:09:00Z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cb9c21a2c42c9c6133629199c5a2e2cdc26a447ae64d1aef48192b1390e70168</vt:lpwstr>
  </property>
  <property fmtid="{D5CDD505-2E9C-101B-9397-08002B2CF9AE}" pid="3" name="ContentTypeId">
    <vt:lpwstr>0x010100E9B0585B2CC6B7498492DEAFE3511BDC</vt:lpwstr>
  </property>
  <property fmtid="{D5CDD505-2E9C-101B-9397-08002B2CF9AE}" pid="4" name="_dlc_DocIdItemGuid">
    <vt:lpwstr>224cb594-5c08-41bd-9802-734bac34d79f</vt:lpwstr>
  </property>
</Properties>
</file>